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75C051" w14:textId="77777777" w:rsidR="00E3116F" w:rsidRDefault="00E3116F">
      <w:pPr>
        <w:adjustRightInd w:val="0"/>
        <w:snapToGrid w:val="0"/>
        <w:spacing w:line="360" w:lineRule="auto"/>
        <w:jc w:val="center"/>
        <w:rPr>
          <w:rFonts w:ascii="宋体" w:hAnsi="宋体" w:cs="Arial"/>
          <w:sz w:val="24"/>
        </w:rPr>
      </w:pPr>
    </w:p>
    <w:p w14:paraId="685FC0A2" w14:textId="77777777" w:rsidR="00E3116F" w:rsidRDefault="00E3116F">
      <w:pPr>
        <w:adjustRightInd w:val="0"/>
        <w:snapToGrid w:val="0"/>
        <w:spacing w:line="360" w:lineRule="auto"/>
        <w:jc w:val="center"/>
        <w:rPr>
          <w:rFonts w:ascii="宋体" w:hAnsi="宋体" w:cs="Arial"/>
          <w:sz w:val="24"/>
        </w:rPr>
      </w:pPr>
    </w:p>
    <w:p w14:paraId="3C6E058E" w14:textId="77777777" w:rsidR="00E3116F" w:rsidRDefault="00E3116F">
      <w:pPr>
        <w:adjustRightInd w:val="0"/>
        <w:snapToGrid w:val="0"/>
        <w:spacing w:line="360" w:lineRule="auto"/>
        <w:jc w:val="center"/>
        <w:rPr>
          <w:rFonts w:ascii="宋体" w:hAnsi="宋体" w:cs="Arial"/>
          <w:sz w:val="24"/>
        </w:rPr>
      </w:pPr>
    </w:p>
    <w:p w14:paraId="63D7F858" w14:textId="06097EE1" w:rsidR="00E3116F" w:rsidRDefault="00821F7A">
      <w:pPr>
        <w:adjustRightInd w:val="0"/>
        <w:snapToGrid w:val="0"/>
        <w:spacing w:line="360" w:lineRule="auto"/>
        <w:jc w:val="center"/>
        <w:rPr>
          <w:rFonts w:ascii="宋体" w:hAnsi="宋体" w:cs="Arial"/>
          <w:b/>
          <w:sz w:val="44"/>
        </w:rPr>
      </w:pPr>
      <w:r>
        <w:rPr>
          <w:rFonts w:ascii="宋体" w:hAnsi="宋体" w:cs="Arial" w:hint="eastAsia"/>
          <w:b/>
          <w:sz w:val="44"/>
        </w:rPr>
        <w:t>银华</w:t>
      </w:r>
      <w:r w:rsidR="00B51019">
        <w:rPr>
          <w:rFonts w:ascii="宋体" w:hAnsi="宋体" w:cs="Arial" w:hint="eastAsia"/>
          <w:b/>
          <w:sz w:val="44"/>
        </w:rPr>
        <w:t>医疗创新混合型证券投资基金（QDII）</w:t>
      </w:r>
    </w:p>
    <w:p w14:paraId="6F5F270D" w14:textId="7083AA45" w:rsidR="00E3116F" w:rsidRDefault="00821F7A">
      <w:pPr>
        <w:adjustRightInd w:val="0"/>
        <w:snapToGrid w:val="0"/>
        <w:spacing w:line="360" w:lineRule="auto"/>
        <w:jc w:val="center"/>
        <w:rPr>
          <w:rFonts w:ascii="宋体" w:hAnsi="宋体" w:cs="Arial"/>
          <w:b/>
          <w:sz w:val="44"/>
        </w:rPr>
      </w:pPr>
      <w:r>
        <w:rPr>
          <w:rFonts w:ascii="宋体" w:hAnsi="宋体" w:cs="Arial" w:hint="eastAsia"/>
          <w:b/>
          <w:sz w:val="44"/>
        </w:rPr>
        <w:t>托管协议</w:t>
      </w:r>
    </w:p>
    <w:p w14:paraId="306A0AD2" w14:textId="77777777" w:rsidR="00E3116F" w:rsidRDefault="00E3116F">
      <w:pPr>
        <w:adjustRightInd w:val="0"/>
        <w:snapToGrid w:val="0"/>
        <w:spacing w:line="360" w:lineRule="auto"/>
        <w:jc w:val="center"/>
        <w:outlineLvl w:val="0"/>
        <w:rPr>
          <w:rFonts w:ascii="宋体" w:hAnsi="宋体" w:cs="Arial"/>
          <w:sz w:val="24"/>
        </w:rPr>
      </w:pPr>
    </w:p>
    <w:p w14:paraId="6F2DDFBF" w14:textId="77777777" w:rsidR="00E3116F" w:rsidRDefault="00E3116F">
      <w:pPr>
        <w:adjustRightInd w:val="0"/>
        <w:snapToGrid w:val="0"/>
        <w:spacing w:line="360" w:lineRule="auto"/>
        <w:jc w:val="center"/>
        <w:outlineLvl w:val="0"/>
        <w:rPr>
          <w:rFonts w:ascii="宋体" w:hAnsi="宋体" w:cs="Arial"/>
          <w:sz w:val="24"/>
        </w:rPr>
      </w:pPr>
    </w:p>
    <w:p w14:paraId="4DED8AD6" w14:textId="77777777" w:rsidR="00E3116F" w:rsidRDefault="00E3116F">
      <w:pPr>
        <w:adjustRightInd w:val="0"/>
        <w:snapToGrid w:val="0"/>
        <w:spacing w:line="360" w:lineRule="auto"/>
        <w:jc w:val="center"/>
        <w:outlineLvl w:val="0"/>
        <w:rPr>
          <w:rFonts w:ascii="宋体" w:hAnsi="宋体" w:cs="Arial"/>
          <w:sz w:val="24"/>
        </w:rPr>
      </w:pPr>
    </w:p>
    <w:p w14:paraId="2CF415AD" w14:textId="77777777" w:rsidR="00E3116F" w:rsidRDefault="00E3116F">
      <w:pPr>
        <w:adjustRightInd w:val="0"/>
        <w:snapToGrid w:val="0"/>
        <w:spacing w:line="360" w:lineRule="auto"/>
        <w:jc w:val="center"/>
        <w:outlineLvl w:val="0"/>
        <w:rPr>
          <w:rFonts w:ascii="宋体" w:hAnsi="宋体" w:cs="Arial"/>
          <w:sz w:val="24"/>
        </w:rPr>
      </w:pPr>
    </w:p>
    <w:p w14:paraId="2AF050D6" w14:textId="77777777" w:rsidR="00E3116F" w:rsidRDefault="00E3116F">
      <w:pPr>
        <w:adjustRightInd w:val="0"/>
        <w:snapToGrid w:val="0"/>
        <w:spacing w:line="360" w:lineRule="auto"/>
        <w:jc w:val="center"/>
        <w:outlineLvl w:val="0"/>
        <w:rPr>
          <w:rFonts w:ascii="宋体" w:hAnsi="宋体" w:cs="Arial"/>
          <w:sz w:val="24"/>
        </w:rPr>
      </w:pPr>
    </w:p>
    <w:p w14:paraId="6059E40D" w14:textId="77777777" w:rsidR="00E3116F" w:rsidRDefault="00E3116F">
      <w:pPr>
        <w:adjustRightInd w:val="0"/>
        <w:snapToGrid w:val="0"/>
        <w:spacing w:line="360" w:lineRule="auto"/>
        <w:jc w:val="center"/>
        <w:outlineLvl w:val="0"/>
        <w:rPr>
          <w:rFonts w:ascii="宋体" w:hAnsi="宋体" w:cs="Arial"/>
          <w:sz w:val="24"/>
        </w:rPr>
      </w:pPr>
    </w:p>
    <w:p w14:paraId="738EBD68" w14:textId="77777777" w:rsidR="00E3116F" w:rsidRDefault="00E3116F">
      <w:pPr>
        <w:adjustRightInd w:val="0"/>
        <w:snapToGrid w:val="0"/>
        <w:spacing w:line="360" w:lineRule="auto"/>
        <w:jc w:val="center"/>
        <w:outlineLvl w:val="0"/>
        <w:rPr>
          <w:rFonts w:ascii="宋体" w:hAnsi="宋体" w:cs="Arial"/>
          <w:sz w:val="24"/>
        </w:rPr>
      </w:pPr>
    </w:p>
    <w:p w14:paraId="46053432" w14:textId="77777777" w:rsidR="00E3116F" w:rsidRDefault="00E3116F">
      <w:pPr>
        <w:adjustRightInd w:val="0"/>
        <w:snapToGrid w:val="0"/>
        <w:spacing w:line="360" w:lineRule="auto"/>
        <w:jc w:val="center"/>
        <w:outlineLvl w:val="0"/>
        <w:rPr>
          <w:rFonts w:ascii="宋体" w:hAnsi="宋体" w:cs="Arial"/>
          <w:sz w:val="24"/>
        </w:rPr>
      </w:pPr>
    </w:p>
    <w:p w14:paraId="50B02DEA" w14:textId="77777777" w:rsidR="00E3116F" w:rsidRDefault="00E3116F">
      <w:pPr>
        <w:adjustRightInd w:val="0"/>
        <w:snapToGrid w:val="0"/>
        <w:spacing w:line="360" w:lineRule="auto"/>
        <w:jc w:val="center"/>
        <w:outlineLvl w:val="0"/>
        <w:rPr>
          <w:rFonts w:ascii="宋体" w:hAnsi="宋体" w:cs="Arial"/>
          <w:sz w:val="24"/>
        </w:rPr>
      </w:pPr>
    </w:p>
    <w:p w14:paraId="11DE5C5A" w14:textId="77777777" w:rsidR="00E3116F" w:rsidRDefault="00E3116F">
      <w:pPr>
        <w:adjustRightInd w:val="0"/>
        <w:snapToGrid w:val="0"/>
        <w:spacing w:line="360" w:lineRule="auto"/>
        <w:jc w:val="center"/>
        <w:outlineLvl w:val="0"/>
        <w:rPr>
          <w:rFonts w:ascii="宋体" w:hAnsi="宋体" w:cs="Arial"/>
          <w:sz w:val="24"/>
        </w:rPr>
      </w:pPr>
    </w:p>
    <w:p w14:paraId="1A89A338" w14:textId="77777777" w:rsidR="00E3116F" w:rsidRDefault="00E3116F">
      <w:pPr>
        <w:adjustRightInd w:val="0"/>
        <w:snapToGrid w:val="0"/>
        <w:spacing w:line="360" w:lineRule="auto"/>
        <w:jc w:val="center"/>
        <w:outlineLvl w:val="0"/>
        <w:rPr>
          <w:rFonts w:ascii="宋体" w:hAnsi="宋体" w:cs="Arial"/>
          <w:sz w:val="24"/>
        </w:rPr>
      </w:pPr>
    </w:p>
    <w:p w14:paraId="2D474980" w14:textId="77777777" w:rsidR="00E3116F" w:rsidRDefault="00E3116F">
      <w:pPr>
        <w:adjustRightInd w:val="0"/>
        <w:snapToGrid w:val="0"/>
        <w:spacing w:line="360" w:lineRule="auto"/>
        <w:jc w:val="center"/>
        <w:outlineLvl w:val="0"/>
        <w:rPr>
          <w:rFonts w:ascii="宋体" w:hAnsi="宋体" w:cs="Arial"/>
          <w:sz w:val="24"/>
        </w:rPr>
      </w:pPr>
    </w:p>
    <w:p w14:paraId="22DB8925" w14:textId="77777777" w:rsidR="00E3116F" w:rsidRDefault="00E3116F">
      <w:pPr>
        <w:tabs>
          <w:tab w:val="left" w:pos="2220"/>
        </w:tabs>
        <w:adjustRightInd w:val="0"/>
        <w:snapToGrid w:val="0"/>
        <w:spacing w:line="360" w:lineRule="auto"/>
        <w:outlineLvl w:val="0"/>
        <w:rPr>
          <w:rFonts w:ascii="宋体" w:hAnsi="宋体" w:cs="Arial"/>
          <w:sz w:val="24"/>
        </w:rPr>
      </w:pPr>
    </w:p>
    <w:p w14:paraId="5B291B85" w14:textId="77777777" w:rsidR="00E3116F" w:rsidRDefault="00E3116F">
      <w:pPr>
        <w:adjustRightInd w:val="0"/>
        <w:snapToGrid w:val="0"/>
        <w:spacing w:line="360" w:lineRule="auto"/>
        <w:jc w:val="center"/>
        <w:outlineLvl w:val="0"/>
        <w:rPr>
          <w:rFonts w:ascii="宋体" w:hAnsi="宋体" w:cs="Arial"/>
          <w:sz w:val="24"/>
        </w:rPr>
      </w:pPr>
    </w:p>
    <w:p w14:paraId="5311974E" w14:textId="77777777" w:rsidR="00E3116F" w:rsidRDefault="00821F7A">
      <w:pPr>
        <w:adjustRightInd w:val="0"/>
        <w:snapToGrid w:val="0"/>
        <w:spacing w:line="360" w:lineRule="auto"/>
        <w:jc w:val="center"/>
        <w:outlineLvl w:val="0"/>
        <w:rPr>
          <w:rFonts w:ascii="宋体" w:hAnsi="宋体" w:cs="Arial"/>
          <w:b/>
          <w:bCs/>
          <w:sz w:val="28"/>
        </w:rPr>
      </w:pPr>
      <w:r>
        <w:rPr>
          <w:rFonts w:ascii="宋体" w:hAnsi="宋体" w:cs="Arial" w:hint="eastAsia"/>
          <w:b/>
          <w:bCs/>
          <w:sz w:val="28"/>
        </w:rPr>
        <w:t>基金管理人：银华基金管理股份有限公司</w:t>
      </w:r>
    </w:p>
    <w:p w14:paraId="64E66AF1" w14:textId="77777777" w:rsidR="00E3116F" w:rsidRDefault="00821F7A">
      <w:pPr>
        <w:adjustRightInd w:val="0"/>
        <w:snapToGrid w:val="0"/>
        <w:spacing w:line="360" w:lineRule="auto"/>
        <w:jc w:val="center"/>
        <w:outlineLvl w:val="0"/>
        <w:rPr>
          <w:rFonts w:ascii="宋体" w:hAnsi="宋体" w:cs="Arial"/>
          <w:b/>
          <w:bCs/>
          <w:sz w:val="28"/>
        </w:rPr>
      </w:pPr>
      <w:r>
        <w:rPr>
          <w:rFonts w:ascii="宋体" w:hAnsi="宋体" w:cs="Arial" w:hint="eastAsia"/>
          <w:b/>
          <w:bCs/>
          <w:sz w:val="28"/>
        </w:rPr>
        <w:t>基金托管人：中国建设银行股份有限公司</w:t>
      </w:r>
    </w:p>
    <w:p w14:paraId="76A1970F" w14:textId="77777777" w:rsidR="00E3116F" w:rsidRDefault="00E3116F">
      <w:pPr>
        <w:adjustRightInd w:val="0"/>
        <w:snapToGrid w:val="0"/>
        <w:spacing w:line="360" w:lineRule="auto"/>
        <w:jc w:val="center"/>
        <w:rPr>
          <w:rFonts w:ascii="宋体" w:hAnsi="宋体" w:cs="Arial"/>
          <w:bCs/>
          <w:sz w:val="24"/>
        </w:rPr>
      </w:pPr>
    </w:p>
    <w:p w14:paraId="302D0FCA" w14:textId="77777777" w:rsidR="00E3116F" w:rsidRDefault="00E3116F">
      <w:pPr>
        <w:adjustRightInd w:val="0"/>
        <w:snapToGrid w:val="0"/>
        <w:spacing w:line="360" w:lineRule="auto"/>
        <w:jc w:val="center"/>
        <w:rPr>
          <w:rFonts w:ascii="宋体" w:hAnsi="宋体" w:cs="Arial"/>
          <w:bCs/>
          <w:sz w:val="24"/>
        </w:rPr>
      </w:pPr>
    </w:p>
    <w:p w14:paraId="27ECA643" w14:textId="77777777" w:rsidR="00E3116F" w:rsidRDefault="00E3116F">
      <w:pPr>
        <w:adjustRightInd w:val="0"/>
        <w:snapToGrid w:val="0"/>
        <w:spacing w:line="360" w:lineRule="auto"/>
        <w:jc w:val="center"/>
        <w:rPr>
          <w:rFonts w:ascii="宋体" w:hAnsi="宋体" w:cs="Arial"/>
          <w:bCs/>
          <w:sz w:val="24"/>
        </w:rPr>
        <w:sectPr w:rsidR="00E3116F">
          <w:footerReference w:type="even" r:id="rId8"/>
          <w:footerReference w:type="default" r:id="rId9"/>
          <w:pgSz w:w="11906" w:h="16838"/>
          <w:pgMar w:top="1418" w:right="1701" w:bottom="1418" w:left="1701" w:header="851" w:footer="992" w:gutter="0"/>
          <w:cols w:space="720"/>
          <w:docGrid w:type="lines" w:linePitch="312"/>
        </w:sectPr>
      </w:pPr>
    </w:p>
    <w:p w14:paraId="3CB31A34" w14:textId="77777777" w:rsidR="00E3116F" w:rsidRDefault="00821F7A">
      <w:pPr>
        <w:spacing w:line="360" w:lineRule="auto"/>
        <w:jc w:val="center"/>
        <w:rPr>
          <w:rFonts w:ascii="宋体" w:hAnsi="宋体"/>
          <w:b/>
          <w:bCs/>
          <w:sz w:val="30"/>
        </w:rPr>
      </w:pPr>
      <w:r>
        <w:rPr>
          <w:rFonts w:ascii="宋体" w:hAnsi="宋体" w:hint="eastAsia"/>
          <w:b/>
          <w:bCs/>
          <w:sz w:val="30"/>
        </w:rPr>
        <w:lastRenderedPageBreak/>
        <w:t>目    录</w:t>
      </w:r>
    </w:p>
    <w:p w14:paraId="3E0109C4" w14:textId="77777777" w:rsidR="00E3116F" w:rsidRDefault="00821F7A">
      <w:pPr>
        <w:pStyle w:val="21"/>
        <w:spacing w:line="360" w:lineRule="auto"/>
        <w:rPr>
          <w:noProof/>
        </w:rPr>
      </w:pPr>
      <w:r>
        <w:rPr>
          <w:rFonts w:hint="eastAsia"/>
        </w:rPr>
        <w:fldChar w:fldCharType="begin"/>
      </w:r>
      <w:r>
        <w:instrText xml:space="preserve"> TOC \o "1-2" \h \z </w:instrText>
      </w:r>
      <w:r>
        <w:rPr>
          <w:rFonts w:hint="eastAsia"/>
        </w:rPr>
        <w:fldChar w:fldCharType="separate"/>
      </w:r>
      <w:hyperlink w:anchor="_Toc516758895" w:history="1">
        <w:r>
          <w:rPr>
            <w:rFonts w:ascii="宋体" w:hAnsi="宋体" w:hint="eastAsia"/>
            <w:noProof/>
            <w:sz w:val="28"/>
            <w:szCs w:val="28"/>
          </w:rPr>
          <w:t>一、基金托管协议当事人</w:t>
        </w:r>
        <w:r>
          <w:rPr>
            <w:noProof/>
          </w:rPr>
          <w:tab/>
        </w:r>
        <w:r>
          <w:rPr>
            <w:noProof/>
          </w:rPr>
          <w:fldChar w:fldCharType="begin"/>
        </w:r>
        <w:r>
          <w:rPr>
            <w:noProof/>
          </w:rPr>
          <w:instrText xml:space="preserve"> PAGEREF _Toc516758895 \h </w:instrText>
        </w:r>
        <w:r>
          <w:rPr>
            <w:noProof/>
          </w:rPr>
        </w:r>
        <w:r>
          <w:rPr>
            <w:noProof/>
          </w:rPr>
          <w:fldChar w:fldCharType="separate"/>
        </w:r>
        <w:r w:rsidR="008B7F6C">
          <w:rPr>
            <w:noProof/>
          </w:rPr>
          <w:t>2</w:t>
        </w:r>
        <w:r>
          <w:rPr>
            <w:noProof/>
          </w:rPr>
          <w:fldChar w:fldCharType="end"/>
        </w:r>
      </w:hyperlink>
    </w:p>
    <w:p w14:paraId="48E08BFB" w14:textId="77777777" w:rsidR="00E3116F" w:rsidRDefault="003E4BE7">
      <w:pPr>
        <w:pStyle w:val="21"/>
        <w:spacing w:line="360" w:lineRule="auto"/>
        <w:rPr>
          <w:noProof/>
        </w:rPr>
      </w:pPr>
      <w:hyperlink w:anchor="_Toc516758896" w:history="1">
        <w:r w:rsidR="00821F7A">
          <w:rPr>
            <w:rFonts w:ascii="宋体" w:hAnsi="宋体" w:hint="eastAsia"/>
            <w:noProof/>
            <w:sz w:val="28"/>
            <w:szCs w:val="28"/>
          </w:rPr>
          <w:t>二、基金托管协议的依据、目的和原则</w:t>
        </w:r>
        <w:r w:rsidR="00821F7A">
          <w:rPr>
            <w:noProof/>
          </w:rPr>
          <w:tab/>
        </w:r>
        <w:r w:rsidR="00821F7A">
          <w:rPr>
            <w:noProof/>
          </w:rPr>
          <w:fldChar w:fldCharType="begin"/>
        </w:r>
        <w:r w:rsidR="00821F7A">
          <w:rPr>
            <w:noProof/>
          </w:rPr>
          <w:instrText xml:space="preserve"> PAGEREF _Toc516758896 \h </w:instrText>
        </w:r>
        <w:r w:rsidR="00821F7A">
          <w:rPr>
            <w:noProof/>
          </w:rPr>
        </w:r>
        <w:r w:rsidR="00821F7A">
          <w:rPr>
            <w:noProof/>
          </w:rPr>
          <w:fldChar w:fldCharType="separate"/>
        </w:r>
        <w:r w:rsidR="008B7F6C">
          <w:rPr>
            <w:noProof/>
          </w:rPr>
          <w:t>3</w:t>
        </w:r>
        <w:r w:rsidR="00821F7A">
          <w:rPr>
            <w:noProof/>
          </w:rPr>
          <w:fldChar w:fldCharType="end"/>
        </w:r>
      </w:hyperlink>
    </w:p>
    <w:p w14:paraId="6966E59C" w14:textId="77777777" w:rsidR="00E3116F" w:rsidRDefault="003E4BE7">
      <w:pPr>
        <w:pStyle w:val="21"/>
        <w:spacing w:line="360" w:lineRule="auto"/>
        <w:rPr>
          <w:noProof/>
        </w:rPr>
      </w:pPr>
      <w:hyperlink w:anchor="_Toc516758897" w:history="1">
        <w:r w:rsidR="00821F7A">
          <w:rPr>
            <w:rFonts w:ascii="宋体" w:hAnsi="宋体" w:hint="eastAsia"/>
            <w:noProof/>
            <w:sz w:val="28"/>
            <w:szCs w:val="28"/>
          </w:rPr>
          <w:t>三、基金托管人对</w:t>
        </w:r>
        <w:bookmarkStart w:id="0" w:name="_Hlt86306810"/>
        <w:r w:rsidR="00821F7A">
          <w:rPr>
            <w:rFonts w:ascii="宋体" w:hAnsi="宋体" w:hint="eastAsia"/>
            <w:noProof/>
            <w:sz w:val="28"/>
            <w:szCs w:val="28"/>
          </w:rPr>
          <w:t>基</w:t>
        </w:r>
        <w:bookmarkEnd w:id="0"/>
        <w:r w:rsidR="00821F7A">
          <w:rPr>
            <w:rFonts w:ascii="宋体" w:hAnsi="宋体" w:hint="eastAsia"/>
            <w:noProof/>
            <w:sz w:val="28"/>
            <w:szCs w:val="28"/>
          </w:rPr>
          <w:t>金管理人的业务监督和核查</w:t>
        </w:r>
        <w:r w:rsidR="00821F7A">
          <w:rPr>
            <w:noProof/>
          </w:rPr>
          <w:tab/>
        </w:r>
        <w:r w:rsidR="00821F7A">
          <w:rPr>
            <w:noProof/>
          </w:rPr>
          <w:fldChar w:fldCharType="begin"/>
        </w:r>
        <w:r w:rsidR="00821F7A">
          <w:rPr>
            <w:noProof/>
          </w:rPr>
          <w:instrText xml:space="preserve"> PAGEREF _Toc516758897 \h </w:instrText>
        </w:r>
        <w:r w:rsidR="00821F7A">
          <w:rPr>
            <w:noProof/>
          </w:rPr>
        </w:r>
        <w:r w:rsidR="00821F7A">
          <w:rPr>
            <w:noProof/>
          </w:rPr>
          <w:fldChar w:fldCharType="separate"/>
        </w:r>
        <w:r w:rsidR="008B7F6C">
          <w:rPr>
            <w:noProof/>
          </w:rPr>
          <w:t>4</w:t>
        </w:r>
        <w:r w:rsidR="00821F7A">
          <w:rPr>
            <w:noProof/>
          </w:rPr>
          <w:fldChar w:fldCharType="end"/>
        </w:r>
      </w:hyperlink>
    </w:p>
    <w:p w14:paraId="2B83922D" w14:textId="5FC30C8D" w:rsidR="00E3116F" w:rsidRDefault="003E4BE7">
      <w:pPr>
        <w:pStyle w:val="21"/>
        <w:spacing w:line="360" w:lineRule="auto"/>
        <w:rPr>
          <w:noProof/>
        </w:rPr>
      </w:pPr>
      <w:hyperlink w:anchor="_Toc516758898" w:history="1">
        <w:r w:rsidR="00821F7A">
          <w:rPr>
            <w:rFonts w:ascii="宋体" w:hAnsi="宋体" w:hint="eastAsia"/>
            <w:noProof/>
            <w:sz w:val="28"/>
            <w:szCs w:val="28"/>
          </w:rPr>
          <w:t>四、基金管理人对基金托管人的业务核查</w:t>
        </w:r>
        <w:r w:rsidR="00821F7A">
          <w:rPr>
            <w:noProof/>
          </w:rPr>
          <w:tab/>
        </w:r>
        <w:r w:rsidR="00821F7A">
          <w:rPr>
            <w:noProof/>
          </w:rPr>
          <w:fldChar w:fldCharType="begin"/>
        </w:r>
        <w:r w:rsidR="00821F7A">
          <w:rPr>
            <w:noProof/>
          </w:rPr>
          <w:instrText xml:space="preserve"> PAGEREF _Toc516758898 \h </w:instrText>
        </w:r>
        <w:r w:rsidR="00821F7A">
          <w:rPr>
            <w:noProof/>
          </w:rPr>
        </w:r>
        <w:r w:rsidR="00821F7A">
          <w:rPr>
            <w:noProof/>
          </w:rPr>
          <w:fldChar w:fldCharType="separate"/>
        </w:r>
        <w:r w:rsidR="008B7F6C">
          <w:rPr>
            <w:noProof/>
          </w:rPr>
          <w:t>13</w:t>
        </w:r>
        <w:r w:rsidR="00821F7A">
          <w:rPr>
            <w:noProof/>
          </w:rPr>
          <w:fldChar w:fldCharType="end"/>
        </w:r>
      </w:hyperlink>
    </w:p>
    <w:p w14:paraId="718B8F87" w14:textId="58C56479" w:rsidR="00E3116F" w:rsidRDefault="003E4BE7">
      <w:pPr>
        <w:pStyle w:val="21"/>
        <w:spacing w:line="360" w:lineRule="auto"/>
        <w:rPr>
          <w:noProof/>
        </w:rPr>
      </w:pPr>
      <w:hyperlink w:anchor="_Toc516758899" w:history="1">
        <w:r w:rsidR="00821F7A">
          <w:rPr>
            <w:rFonts w:ascii="宋体" w:hAnsi="宋体" w:hint="eastAsia"/>
            <w:noProof/>
            <w:sz w:val="28"/>
            <w:szCs w:val="28"/>
          </w:rPr>
          <w:t>五、基金财产的保管</w:t>
        </w:r>
        <w:r w:rsidR="00821F7A">
          <w:rPr>
            <w:noProof/>
          </w:rPr>
          <w:tab/>
        </w:r>
        <w:r w:rsidR="00821F7A">
          <w:rPr>
            <w:noProof/>
          </w:rPr>
          <w:fldChar w:fldCharType="begin"/>
        </w:r>
        <w:r w:rsidR="00821F7A">
          <w:rPr>
            <w:noProof/>
          </w:rPr>
          <w:instrText xml:space="preserve"> PAGEREF _Toc516758899 \h </w:instrText>
        </w:r>
        <w:r w:rsidR="00821F7A">
          <w:rPr>
            <w:noProof/>
          </w:rPr>
        </w:r>
        <w:r w:rsidR="00821F7A">
          <w:rPr>
            <w:noProof/>
          </w:rPr>
          <w:fldChar w:fldCharType="separate"/>
        </w:r>
        <w:r w:rsidR="008B7F6C">
          <w:rPr>
            <w:noProof/>
          </w:rPr>
          <w:t>13</w:t>
        </w:r>
        <w:r w:rsidR="00821F7A">
          <w:rPr>
            <w:noProof/>
          </w:rPr>
          <w:fldChar w:fldCharType="end"/>
        </w:r>
      </w:hyperlink>
    </w:p>
    <w:p w14:paraId="120E1D51" w14:textId="27AC5B56" w:rsidR="00E3116F" w:rsidRDefault="003E4BE7">
      <w:pPr>
        <w:pStyle w:val="21"/>
        <w:spacing w:line="360" w:lineRule="auto"/>
        <w:rPr>
          <w:noProof/>
        </w:rPr>
      </w:pPr>
      <w:hyperlink w:anchor="_Toc516758900" w:history="1">
        <w:r w:rsidR="00821F7A">
          <w:rPr>
            <w:rFonts w:ascii="宋体" w:hAnsi="宋体" w:hint="eastAsia"/>
            <w:noProof/>
            <w:sz w:val="28"/>
            <w:szCs w:val="28"/>
          </w:rPr>
          <w:t>六、指令的发送、确认及执行</w:t>
        </w:r>
        <w:r w:rsidR="00821F7A">
          <w:rPr>
            <w:noProof/>
          </w:rPr>
          <w:tab/>
        </w:r>
        <w:r w:rsidR="00821F7A">
          <w:rPr>
            <w:noProof/>
          </w:rPr>
          <w:fldChar w:fldCharType="begin"/>
        </w:r>
        <w:r w:rsidR="00821F7A">
          <w:rPr>
            <w:noProof/>
          </w:rPr>
          <w:instrText xml:space="preserve"> PAGEREF _Toc516758900 \h </w:instrText>
        </w:r>
        <w:r w:rsidR="00821F7A">
          <w:rPr>
            <w:noProof/>
          </w:rPr>
        </w:r>
        <w:r w:rsidR="00821F7A">
          <w:rPr>
            <w:noProof/>
          </w:rPr>
          <w:fldChar w:fldCharType="separate"/>
        </w:r>
        <w:r w:rsidR="008B7F6C">
          <w:rPr>
            <w:noProof/>
          </w:rPr>
          <w:t>18</w:t>
        </w:r>
        <w:r w:rsidR="00821F7A">
          <w:rPr>
            <w:noProof/>
          </w:rPr>
          <w:fldChar w:fldCharType="end"/>
        </w:r>
      </w:hyperlink>
    </w:p>
    <w:p w14:paraId="428755DC" w14:textId="1A38C2DE" w:rsidR="00E3116F" w:rsidRDefault="003E4BE7">
      <w:pPr>
        <w:pStyle w:val="21"/>
        <w:spacing w:line="360" w:lineRule="auto"/>
        <w:rPr>
          <w:noProof/>
        </w:rPr>
      </w:pPr>
      <w:hyperlink w:anchor="_Toc516758901" w:history="1">
        <w:r w:rsidR="00821F7A">
          <w:rPr>
            <w:rFonts w:ascii="宋体" w:hAnsi="宋体" w:hint="eastAsia"/>
            <w:noProof/>
            <w:sz w:val="28"/>
            <w:szCs w:val="28"/>
          </w:rPr>
          <w:t>七、交易及清算交收安排</w:t>
        </w:r>
        <w:r w:rsidR="00821F7A">
          <w:rPr>
            <w:noProof/>
          </w:rPr>
          <w:tab/>
        </w:r>
        <w:r w:rsidR="00821F7A">
          <w:rPr>
            <w:noProof/>
          </w:rPr>
          <w:fldChar w:fldCharType="begin"/>
        </w:r>
        <w:r w:rsidR="00821F7A">
          <w:rPr>
            <w:noProof/>
          </w:rPr>
          <w:instrText xml:space="preserve"> PAGEREF _Toc516758901 \h </w:instrText>
        </w:r>
        <w:r w:rsidR="00821F7A">
          <w:rPr>
            <w:noProof/>
          </w:rPr>
        </w:r>
        <w:r w:rsidR="00821F7A">
          <w:rPr>
            <w:noProof/>
          </w:rPr>
          <w:fldChar w:fldCharType="separate"/>
        </w:r>
        <w:r w:rsidR="008B7F6C">
          <w:rPr>
            <w:noProof/>
          </w:rPr>
          <w:t>22</w:t>
        </w:r>
        <w:r w:rsidR="00821F7A">
          <w:rPr>
            <w:noProof/>
          </w:rPr>
          <w:fldChar w:fldCharType="end"/>
        </w:r>
      </w:hyperlink>
    </w:p>
    <w:p w14:paraId="5CF5C3EB" w14:textId="0E988336" w:rsidR="00E3116F" w:rsidRDefault="003E4BE7">
      <w:pPr>
        <w:pStyle w:val="21"/>
        <w:spacing w:line="360" w:lineRule="auto"/>
        <w:rPr>
          <w:noProof/>
        </w:rPr>
      </w:pPr>
      <w:hyperlink w:anchor="_Toc516758902" w:history="1">
        <w:r w:rsidR="00821F7A">
          <w:rPr>
            <w:rFonts w:ascii="宋体" w:hAnsi="宋体" w:hint="eastAsia"/>
            <w:noProof/>
            <w:sz w:val="28"/>
            <w:szCs w:val="28"/>
          </w:rPr>
          <w:t>八、基金资产净值</w:t>
        </w:r>
        <w:bookmarkStart w:id="1" w:name="_Hlt91147840"/>
        <w:bookmarkStart w:id="2" w:name="_Hlt91147839"/>
        <w:r w:rsidR="00821F7A">
          <w:rPr>
            <w:rFonts w:ascii="宋体" w:hAnsi="宋体" w:hint="eastAsia"/>
            <w:noProof/>
            <w:sz w:val="28"/>
            <w:szCs w:val="28"/>
          </w:rPr>
          <w:t>计</w:t>
        </w:r>
        <w:bookmarkEnd w:id="1"/>
        <w:bookmarkEnd w:id="2"/>
        <w:r w:rsidR="00821F7A">
          <w:rPr>
            <w:rFonts w:ascii="宋体" w:hAnsi="宋体" w:hint="eastAsia"/>
            <w:noProof/>
            <w:sz w:val="28"/>
            <w:szCs w:val="28"/>
          </w:rPr>
          <w:t>算</w:t>
        </w:r>
        <w:bookmarkStart w:id="3" w:name="_Hlt86306598"/>
        <w:bookmarkStart w:id="4" w:name="_Hlt86306599"/>
        <w:r w:rsidR="00821F7A">
          <w:rPr>
            <w:rFonts w:ascii="宋体" w:hAnsi="宋体" w:hint="eastAsia"/>
            <w:noProof/>
            <w:sz w:val="28"/>
            <w:szCs w:val="28"/>
          </w:rPr>
          <w:t>和</w:t>
        </w:r>
        <w:bookmarkEnd w:id="3"/>
        <w:bookmarkEnd w:id="4"/>
        <w:r w:rsidR="00821F7A">
          <w:rPr>
            <w:rFonts w:ascii="宋体" w:hAnsi="宋体" w:hint="eastAsia"/>
            <w:noProof/>
            <w:sz w:val="28"/>
            <w:szCs w:val="28"/>
          </w:rPr>
          <w:t>会计核算</w:t>
        </w:r>
        <w:r w:rsidR="00821F7A">
          <w:rPr>
            <w:noProof/>
          </w:rPr>
          <w:tab/>
        </w:r>
        <w:r w:rsidR="00821F7A">
          <w:rPr>
            <w:noProof/>
          </w:rPr>
          <w:fldChar w:fldCharType="begin"/>
        </w:r>
        <w:r w:rsidR="00821F7A">
          <w:rPr>
            <w:noProof/>
          </w:rPr>
          <w:instrText xml:space="preserve"> PAGEREF _Toc516758902 \h </w:instrText>
        </w:r>
        <w:r w:rsidR="00821F7A">
          <w:rPr>
            <w:noProof/>
          </w:rPr>
        </w:r>
        <w:r w:rsidR="00821F7A">
          <w:rPr>
            <w:noProof/>
          </w:rPr>
          <w:fldChar w:fldCharType="separate"/>
        </w:r>
        <w:r w:rsidR="008B7F6C">
          <w:rPr>
            <w:noProof/>
          </w:rPr>
          <w:t>30</w:t>
        </w:r>
        <w:r w:rsidR="00821F7A">
          <w:rPr>
            <w:noProof/>
          </w:rPr>
          <w:fldChar w:fldCharType="end"/>
        </w:r>
      </w:hyperlink>
    </w:p>
    <w:p w14:paraId="5B69F6E5" w14:textId="0BEE69D0" w:rsidR="00E3116F" w:rsidRDefault="003E4BE7">
      <w:pPr>
        <w:pStyle w:val="21"/>
        <w:spacing w:line="360" w:lineRule="auto"/>
        <w:rPr>
          <w:noProof/>
        </w:rPr>
      </w:pPr>
      <w:hyperlink w:anchor="_Toc516758903" w:history="1">
        <w:r w:rsidR="00821F7A">
          <w:rPr>
            <w:rFonts w:ascii="宋体" w:hAnsi="宋体" w:hint="eastAsia"/>
            <w:noProof/>
            <w:sz w:val="28"/>
            <w:szCs w:val="28"/>
          </w:rPr>
          <w:t>九、基金收益分配</w:t>
        </w:r>
        <w:r w:rsidR="00821F7A">
          <w:rPr>
            <w:noProof/>
          </w:rPr>
          <w:tab/>
        </w:r>
        <w:r w:rsidR="00821F7A">
          <w:rPr>
            <w:noProof/>
          </w:rPr>
          <w:fldChar w:fldCharType="begin"/>
        </w:r>
        <w:r w:rsidR="00821F7A">
          <w:rPr>
            <w:noProof/>
          </w:rPr>
          <w:instrText xml:space="preserve"> PAGEREF _Toc516758903 \h </w:instrText>
        </w:r>
        <w:r w:rsidR="00821F7A">
          <w:rPr>
            <w:noProof/>
          </w:rPr>
        </w:r>
        <w:r w:rsidR="00821F7A">
          <w:rPr>
            <w:noProof/>
          </w:rPr>
          <w:fldChar w:fldCharType="separate"/>
        </w:r>
        <w:r w:rsidR="008B7F6C">
          <w:rPr>
            <w:noProof/>
          </w:rPr>
          <w:t>37</w:t>
        </w:r>
        <w:r w:rsidR="00821F7A">
          <w:rPr>
            <w:noProof/>
          </w:rPr>
          <w:fldChar w:fldCharType="end"/>
        </w:r>
      </w:hyperlink>
    </w:p>
    <w:p w14:paraId="0B3197F2" w14:textId="545E1712" w:rsidR="00E3116F" w:rsidRDefault="003E4BE7">
      <w:pPr>
        <w:pStyle w:val="21"/>
        <w:spacing w:line="360" w:lineRule="auto"/>
        <w:rPr>
          <w:noProof/>
        </w:rPr>
      </w:pPr>
      <w:hyperlink w:anchor="_Toc516758904" w:history="1">
        <w:r w:rsidR="00821F7A">
          <w:rPr>
            <w:rFonts w:ascii="宋体" w:hAnsi="宋体" w:hint="eastAsia"/>
            <w:noProof/>
            <w:sz w:val="28"/>
            <w:szCs w:val="28"/>
          </w:rPr>
          <w:t>十、基金信息披露</w:t>
        </w:r>
        <w:r w:rsidR="00821F7A">
          <w:rPr>
            <w:noProof/>
          </w:rPr>
          <w:tab/>
        </w:r>
        <w:r w:rsidR="00821F7A">
          <w:rPr>
            <w:noProof/>
          </w:rPr>
          <w:fldChar w:fldCharType="begin"/>
        </w:r>
        <w:r w:rsidR="00821F7A">
          <w:rPr>
            <w:noProof/>
          </w:rPr>
          <w:instrText xml:space="preserve"> PAGEREF _Toc516758904 \h </w:instrText>
        </w:r>
        <w:r w:rsidR="00821F7A">
          <w:rPr>
            <w:noProof/>
          </w:rPr>
        </w:r>
        <w:r w:rsidR="00821F7A">
          <w:rPr>
            <w:noProof/>
          </w:rPr>
          <w:fldChar w:fldCharType="separate"/>
        </w:r>
        <w:r w:rsidR="008B7F6C">
          <w:rPr>
            <w:noProof/>
          </w:rPr>
          <w:t>38</w:t>
        </w:r>
        <w:r w:rsidR="00821F7A">
          <w:rPr>
            <w:noProof/>
          </w:rPr>
          <w:fldChar w:fldCharType="end"/>
        </w:r>
      </w:hyperlink>
    </w:p>
    <w:p w14:paraId="089ECFD9" w14:textId="38A7E475" w:rsidR="00E3116F" w:rsidRDefault="003E4BE7">
      <w:pPr>
        <w:pStyle w:val="21"/>
        <w:spacing w:line="360" w:lineRule="auto"/>
        <w:rPr>
          <w:noProof/>
        </w:rPr>
      </w:pPr>
      <w:hyperlink w:anchor="_Toc516758905" w:history="1">
        <w:r w:rsidR="00821F7A">
          <w:rPr>
            <w:rFonts w:ascii="宋体" w:hAnsi="宋体" w:hint="eastAsia"/>
            <w:noProof/>
            <w:sz w:val="28"/>
            <w:szCs w:val="28"/>
          </w:rPr>
          <w:t>十一、基金费用</w:t>
        </w:r>
        <w:r w:rsidR="00821F7A">
          <w:rPr>
            <w:noProof/>
          </w:rPr>
          <w:tab/>
        </w:r>
        <w:r w:rsidR="00821F7A">
          <w:rPr>
            <w:noProof/>
          </w:rPr>
          <w:fldChar w:fldCharType="begin"/>
        </w:r>
        <w:r w:rsidR="00821F7A">
          <w:rPr>
            <w:noProof/>
          </w:rPr>
          <w:instrText xml:space="preserve"> PAGEREF _Toc516758905 \h </w:instrText>
        </w:r>
        <w:r w:rsidR="00821F7A">
          <w:rPr>
            <w:noProof/>
          </w:rPr>
        </w:r>
        <w:r w:rsidR="00821F7A">
          <w:rPr>
            <w:noProof/>
          </w:rPr>
          <w:fldChar w:fldCharType="separate"/>
        </w:r>
        <w:r w:rsidR="008B7F6C">
          <w:rPr>
            <w:noProof/>
          </w:rPr>
          <w:t>40</w:t>
        </w:r>
        <w:r w:rsidR="00821F7A">
          <w:rPr>
            <w:noProof/>
          </w:rPr>
          <w:fldChar w:fldCharType="end"/>
        </w:r>
      </w:hyperlink>
    </w:p>
    <w:p w14:paraId="4F985C65" w14:textId="1BF42AF5" w:rsidR="00E3116F" w:rsidRDefault="003E4BE7">
      <w:pPr>
        <w:pStyle w:val="21"/>
        <w:spacing w:line="360" w:lineRule="auto"/>
        <w:rPr>
          <w:noProof/>
        </w:rPr>
      </w:pPr>
      <w:hyperlink w:anchor="_Toc516758906" w:history="1">
        <w:r w:rsidR="00821F7A">
          <w:rPr>
            <w:rFonts w:ascii="宋体" w:hAnsi="宋体" w:hint="eastAsia"/>
            <w:noProof/>
            <w:sz w:val="28"/>
            <w:szCs w:val="28"/>
          </w:rPr>
          <w:t>十二、基金份额持有人名</w:t>
        </w:r>
        <w:bookmarkStart w:id="5" w:name="_Hlt48222670"/>
        <w:bookmarkStart w:id="6" w:name="_Hlt48222671"/>
        <w:r w:rsidR="00821F7A">
          <w:rPr>
            <w:rFonts w:ascii="宋体" w:hAnsi="宋体" w:hint="eastAsia"/>
            <w:noProof/>
            <w:sz w:val="28"/>
            <w:szCs w:val="28"/>
          </w:rPr>
          <w:t>册</w:t>
        </w:r>
        <w:bookmarkEnd w:id="5"/>
        <w:bookmarkEnd w:id="6"/>
        <w:r w:rsidR="00821F7A">
          <w:rPr>
            <w:rFonts w:ascii="宋体" w:hAnsi="宋体" w:hint="eastAsia"/>
            <w:noProof/>
            <w:sz w:val="28"/>
            <w:szCs w:val="28"/>
          </w:rPr>
          <w:t>的保管</w:t>
        </w:r>
        <w:r w:rsidR="00821F7A">
          <w:rPr>
            <w:noProof/>
          </w:rPr>
          <w:tab/>
        </w:r>
        <w:r w:rsidR="00821F7A">
          <w:rPr>
            <w:noProof/>
          </w:rPr>
          <w:fldChar w:fldCharType="begin"/>
        </w:r>
        <w:r w:rsidR="00821F7A">
          <w:rPr>
            <w:noProof/>
          </w:rPr>
          <w:instrText xml:space="preserve"> PAGEREF _Toc516758906 \h </w:instrText>
        </w:r>
        <w:r w:rsidR="00821F7A">
          <w:rPr>
            <w:noProof/>
          </w:rPr>
        </w:r>
        <w:r w:rsidR="00821F7A">
          <w:rPr>
            <w:noProof/>
          </w:rPr>
          <w:fldChar w:fldCharType="separate"/>
        </w:r>
        <w:r w:rsidR="008B7F6C">
          <w:rPr>
            <w:noProof/>
          </w:rPr>
          <w:t>46</w:t>
        </w:r>
        <w:r w:rsidR="00821F7A">
          <w:rPr>
            <w:noProof/>
          </w:rPr>
          <w:fldChar w:fldCharType="end"/>
        </w:r>
      </w:hyperlink>
    </w:p>
    <w:p w14:paraId="231D811C" w14:textId="0120B34D" w:rsidR="00E3116F" w:rsidRDefault="003E4BE7">
      <w:pPr>
        <w:pStyle w:val="21"/>
        <w:spacing w:line="360" w:lineRule="auto"/>
        <w:rPr>
          <w:noProof/>
        </w:rPr>
      </w:pPr>
      <w:hyperlink w:anchor="_Toc516758907" w:history="1">
        <w:r w:rsidR="00821F7A">
          <w:rPr>
            <w:rFonts w:ascii="宋体" w:hAnsi="宋体" w:hint="eastAsia"/>
            <w:noProof/>
            <w:sz w:val="28"/>
            <w:szCs w:val="28"/>
          </w:rPr>
          <w:t>十三、基金有关文件档案的保存</w:t>
        </w:r>
        <w:r w:rsidR="00821F7A">
          <w:rPr>
            <w:noProof/>
          </w:rPr>
          <w:tab/>
        </w:r>
        <w:r w:rsidR="00821F7A">
          <w:rPr>
            <w:noProof/>
          </w:rPr>
          <w:fldChar w:fldCharType="begin"/>
        </w:r>
        <w:r w:rsidR="00821F7A">
          <w:rPr>
            <w:noProof/>
          </w:rPr>
          <w:instrText xml:space="preserve"> PAGEREF _Toc516758907 \h </w:instrText>
        </w:r>
        <w:r w:rsidR="00821F7A">
          <w:rPr>
            <w:noProof/>
          </w:rPr>
        </w:r>
        <w:r w:rsidR="00821F7A">
          <w:rPr>
            <w:noProof/>
          </w:rPr>
          <w:fldChar w:fldCharType="separate"/>
        </w:r>
        <w:r w:rsidR="008B7F6C">
          <w:rPr>
            <w:noProof/>
          </w:rPr>
          <w:t>46</w:t>
        </w:r>
        <w:r w:rsidR="00821F7A">
          <w:rPr>
            <w:noProof/>
          </w:rPr>
          <w:fldChar w:fldCharType="end"/>
        </w:r>
      </w:hyperlink>
    </w:p>
    <w:p w14:paraId="3DEED0A9" w14:textId="5E8B5096" w:rsidR="00E3116F" w:rsidRDefault="003E4BE7">
      <w:pPr>
        <w:pStyle w:val="21"/>
        <w:spacing w:line="360" w:lineRule="auto"/>
        <w:rPr>
          <w:noProof/>
        </w:rPr>
      </w:pPr>
      <w:hyperlink w:anchor="_Toc516758908" w:history="1">
        <w:r w:rsidR="00821F7A">
          <w:rPr>
            <w:rFonts w:ascii="宋体" w:hAnsi="宋体" w:hint="eastAsia"/>
            <w:noProof/>
            <w:sz w:val="28"/>
            <w:szCs w:val="28"/>
          </w:rPr>
          <w:t>十四、基金管理人和基金托管人的更换</w:t>
        </w:r>
        <w:r w:rsidR="00821F7A">
          <w:rPr>
            <w:noProof/>
          </w:rPr>
          <w:tab/>
        </w:r>
        <w:r w:rsidR="00821F7A">
          <w:rPr>
            <w:noProof/>
          </w:rPr>
          <w:fldChar w:fldCharType="begin"/>
        </w:r>
        <w:r w:rsidR="00821F7A">
          <w:rPr>
            <w:noProof/>
          </w:rPr>
          <w:instrText xml:space="preserve"> PAGEREF _Toc516758908 \h </w:instrText>
        </w:r>
        <w:r w:rsidR="00821F7A">
          <w:rPr>
            <w:noProof/>
          </w:rPr>
        </w:r>
        <w:r w:rsidR="00821F7A">
          <w:rPr>
            <w:noProof/>
          </w:rPr>
          <w:fldChar w:fldCharType="separate"/>
        </w:r>
        <w:r w:rsidR="008B7F6C">
          <w:rPr>
            <w:noProof/>
          </w:rPr>
          <w:t>47</w:t>
        </w:r>
        <w:r w:rsidR="00821F7A">
          <w:rPr>
            <w:noProof/>
          </w:rPr>
          <w:fldChar w:fldCharType="end"/>
        </w:r>
      </w:hyperlink>
    </w:p>
    <w:p w14:paraId="0DC7B3CC" w14:textId="219F6C80" w:rsidR="00E3116F" w:rsidRDefault="003E4BE7">
      <w:pPr>
        <w:pStyle w:val="21"/>
        <w:spacing w:line="360" w:lineRule="auto"/>
        <w:rPr>
          <w:noProof/>
        </w:rPr>
      </w:pPr>
      <w:hyperlink w:anchor="_Toc516758909" w:history="1">
        <w:r w:rsidR="00821F7A">
          <w:rPr>
            <w:rFonts w:ascii="宋体" w:hAnsi="宋体" w:hint="eastAsia"/>
            <w:noProof/>
            <w:sz w:val="28"/>
            <w:szCs w:val="28"/>
          </w:rPr>
          <w:t>十五、禁止行为</w:t>
        </w:r>
        <w:r w:rsidR="00821F7A">
          <w:rPr>
            <w:noProof/>
          </w:rPr>
          <w:tab/>
        </w:r>
        <w:r w:rsidR="00821F7A">
          <w:rPr>
            <w:noProof/>
          </w:rPr>
          <w:fldChar w:fldCharType="begin"/>
        </w:r>
        <w:r w:rsidR="00821F7A">
          <w:rPr>
            <w:noProof/>
          </w:rPr>
          <w:instrText xml:space="preserve"> PAGEREF _Toc516758909 \h </w:instrText>
        </w:r>
        <w:r w:rsidR="00821F7A">
          <w:rPr>
            <w:noProof/>
          </w:rPr>
        </w:r>
        <w:r w:rsidR="00821F7A">
          <w:rPr>
            <w:noProof/>
          </w:rPr>
          <w:fldChar w:fldCharType="separate"/>
        </w:r>
        <w:r w:rsidR="008B7F6C">
          <w:rPr>
            <w:noProof/>
          </w:rPr>
          <w:t>50</w:t>
        </w:r>
        <w:r w:rsidR="00821F7A">
          <w:rPr>
            <w:noProof/>
          </w:rPr>
          <w:fldChar w:fldCharType="end"/>
        </w:r>
      </w:hyperlink>
    </w:p>
    <w:p w14:paraId="414948C4" w14:textId="7C123FEA" w:rsidR="00E3116F" w:rsidRDefault="003E4BE7">
      <w:pPr>
        <w:pStyle w:val="21"/>
        <w:spacing w:line="360" w:lineRule="auto"/>
        <w:rPr>
          <w:noProof/>
        </w:rPr>
      </w:pPr>
      <w:hyperlink w:anchor="_Toc516758910" w:history="1">
        <w:r w:rsidR="00821F7A">
          <w:rPr>
            <w:rFonts w:ascii="宋体" w:hAnsi="宋体" w:hint="eastAsia"/>
            <w:noProof/>
            <w:sz w:val="28"/>
            <w:szCs w:val="28"/>
          </w:rPr>
          <w:t>十六、托管协议的变更、终止与基金财产的清算</w:t>
        </w:r>
        <w:r w:rsidR="00821F7A">
          <w:rPr>
            <w:noProof/>
          </w:rPr>
          <w:tab/>
        </w:r>
        <w:r w:rsidR="00821F7A">
          <w:rPr>
            <w:noProof/>
          </w:rPr>
          <w:fldChar w:fldCharType="begin"/>
        </w:r>
        <w:r w:rsidR="00821F7A">
          <w:rPr>
            <w:noProof/>
          </w:rPr>
          <w:instrText xml:space="preserve"> PAGEREF _Toc516758910 \h </w:instrText>
        </w:r>
        <w:r w:rsidR="00821F7A">
          <w:rPr>
            <w:noProof/>
          </w:rPr>
        </w:r>
        <w:r w:rsidR="00821F7A">
          <w:rPr>
            <w:noProof/>
          </w:rPr>
          <w:fldChar w:fldCharType="separate"/>
        </w:r>
        <w:r w:rsidR="008B7F6C">
          <w:rPr>
            <w:noProof/>
          </w:rPr>
          <w:t>51</w:t>
        </w:r>
        <w:r w:rsidR="00821F7A">
          <w:rPr>
            <w:noProof/>
          </w:rPr>
          <w:fldChar w:fldCharType="end"/>
        </w:r>
      </w:hyperlink>
    </w:p>
    <w:p w14:paraId="33794EC3" w14:textId="632AF6E8" w:rsidR="00E3116F" w:rsidRDefault="003E4BE7">
      <w:pPr>
        <w:pStyle w:val="21"/>
        <w:spacing w:line="360" w:lineRule="auto"/>
        <w:rPr>
          <w:noProof/>
        </w:rPr>
      </w:pPr>
      <w:hyperlink w:anchor="_Toc516758911" w:history="1">
        <w:r w:rsidR="00821F7A">
          <w:rPr>
            <w:rFonts w:ascii="宋体" w:hAnsi="宋体" w:hint="eastAsia"/>
            <w:noProof/>
            <w:sz w:val="28"/>
            <w:szCs w:val="28"/>
          </w:rPr>
          <w:t>十七、违约责任</w:t>
        </w:r>
        <w:r w:rsidR="00821F7A">
          <w:rPr>
            <w:noProof/>
          </w:rPr>
          <w:tab/>
        </w:r>
        <w:r w:rsidR="00821F7A">
          <w:rPr>
            <w:noProof/>
          </w:rPr>
          <w:fldChar w:fldCharType="begin"/>
        </w:r>
        <w:r w:rsidR="00821F7A">
          <w:rPr>
            <w:noProof/>
          </w:rPr>
          <w:instrText xml:space="preserve"> PAGEREF _Toc516758911 \h </w:instrText>
        </w:r>
        <w:r w:rsidR="00821F7A">
          <w:rPr>
            <w:noProof/>
          </w:rPr>
        </w:r>
        <w:r w:rsidR="00821F7A">
          <w:rPr>
            <w:noProof/>
          </w:rPr>
          <w:fldChar w:fldCharType="separate"/>
        </w:r>
        <w:r w:rsidR="008B7F6C">
          <w:rPr>
            <w:noProof/>
          </w:rPr>
          <w:t>53</w:t>
        </w:r>
        <w:r w:rsidR="00821F7A">
          <w:rPr>
            <w:noProof/>
          </w:rPr>
          <w:fldChar w:fldCharType="end"/>
        </w:r>
      </w:hyperlink>
    </w:p>
    <w:p w14:paraId="4FCF5439" w14:textId="024F08B6" w:rsidR="00E3116F" w:rsidRDefault="003E4BE7">
      <w:pPr>
        <w:pStyle w:val="21"/>
        <w:spacing w:line="360" w:lineRule="auto"/>
        <w:rPr>
          <w:noProof/>
        </w:rPr>
      </w:pPr>
      <w:hyperlink w:anchor="_Toc516758912" w:history="1">
        <w:r w:rsidR="00821F7A">
          <w:rPr>
            <w:rFonts w:ascii="宋体" w:hAnsi="宋体" w:hint="eastAsia"/>
            <w:noProof/>
            <w:sz w:val="28"/>
            <w:szCs w:val="28"/>
          </w:rPr>
          <w:t>十八、争议解决方式</w:t>
        </w:r>
        <w:r w:rsidR="00821F7A">
          <w:rPr>
            <w:noProof/>
          </w:rPr>
          <w:tab/>
        </w:r>
        <w:r w:rsidR="00821F7A">
          <w:rPr>
            <w:noProof/>
          </w:rPr>
          <w:fldChar w:fldCharType="begin"/>
        </w:r>
        <w:r w:rsidR="00821F7A">
          <w:rPr>
            <w:noProof/>
          </w:rPr>
          <w:instrText xml:space="preserve"> PAGEREF _Toc516758912 \h </w:instrText>
        </w:r>
        <w:r w:rsidR="00821F7A">
          <w:rPr>
            <w:noProof/>
          </w:rPr>
        </w:r>
        <w:r w:rsidR="00821F7A">
          <w:rPr>
            <w:noProof/>
          </w:rPr>
          <w:fldChar w:fldCharType="separate"/>
        </w:r>
        <w:r w:rsidR="008B7F6C">
          <w:rPr>
            <w:noProof/>
          </w:rPr>
          <w:t>55</w:t>
        </w:r>
        <w:r w:rsidR="00821F7A">
          <w:rPr>
            <w:noProof/>
          </w:rPr>
          <w:fldChar w:fldCharType="end"/>
        </w:r>
      </w:hyperlink>
    </w:p>
    <w:p w14:paraId="5FDEF030" w14:textId="2D0DED35" w:rsidR="00E3116F" w:rsidRDefault="003E4BE7">
      <w:pPr>
        <w:pStyle w:val="21"/>
        <w:spacing w:line="360" w:lineRule="auto"/>
        <w:rPr>
          <w:noProof/>
        </w:rPr>
      </w:pPr>
      <w:hyperlink w:anchor="_Toc516758913" w:history="1">
        <w:r w:rsidR="00821F7A">
          <w:rPr>
            <w:rFonts w:ascii="宋体" w:hAnsi="宋体" w:hint="eastAsia"/>
            <w:noProof/>
            <w:sz w:val="28"/>
            <w:szCs w:val="28"/>
          </w:rPr>
          <w:t>十九、托管协议的效力</w:t>
        </w:r>
        <w:r w:rsidR="00821F7A">
          <w:rPr>
            <w:noProof/>
          </w:rPr>
          <w:tab/>
        </w:r>
        <w:r w:rsidR="00821F7A">
          <w:rPr>
            <w:noProof/>
          </w:rPr>
          <w:fldChar w:fldCharType="begin"/>
        </w:r>
        <w:r w:rsidR="00821F7A">
          <w:rPr>
            <w:noProof/>
          </w:rPr>
          <w:instrText xml:space="preserve"> PAGEREF _Toc516758913 \h </w:instrText>
        </w:r>
        <w:r w:rsidR="00821F7A">
          <w:rPr>
            <w:noProof/>
          </w:rPr>
        </w:r>
        <w:r w:rsidR="00821F7A">
          <w:rPr>
            <w:noProof/>
          </w:rPr>
          <w:fldChar w:fldCharType="separate"/>
        </w:r>
        <w:r w:rsidR="008B7F6C">
          <w:rPr>
            <w:noProof/>
          </w:rPr>
          <w:t>55</w:t>
        </w:r>
        <w:r w:rsidR="00821F7A">
          <w:rPr>
            <w:noProof/>
          </w:rPr>
          <w:fldChar w:fldCharType="end"/>
        </w:r>
      </w:hyperlink>
    </w:p>
    <w:p w14:paraId="06B14758" w14:textId="0A51E1DA" w:rsidR="00E3116F" w:rsidRDefault="003E4BE7">
      <w:pPr>
        <w:pStyle w:val="21"/>
        <w:spacing w:line="360" w:lineRule="auto"/>
        <w:rPr>
          <w:noProof/>
        </w:rPr>
      </w:pPr>
      <w:hyperlink w:anchor="_Toc516758914" w:history="1">
        <w:r w:rsidR="00821F7A">
          <w:rPr>
            <w:rFonts w:ascii="宋体" w:hAnsi="宋体" w:hint="eastAsia"/>
            <w:noProof/>
            <w:sz w:val="28"/>
            <w:szCs w:val="28"/>
          </w:rPr>
          <w:t>二十、其他事项</w:t>
        </w:r>
        <w:r w:rsidR="00821F7A">
          <w:rPr>
            <w:noProof/>
          </w:rPr>
          <w:tab/>
        </w:r>
        <w:r w:rsidR="00821F7A">
          <w:rPr>
            <w:noProof/>
          </w:rPr>
          <w:fldChar w:fldCharType="begin"/>
        </w:r>
        <w:r w:rsidR="00821F7A">
          <w:rPr>
            <w:noProof/>
          </w:rPr>
          <w:instrText xml:space="preserve"> PAGEREF _Toc516758914 \h </w:instrText>
        </w:r>
        <w:r w:rsidR="00821F7A">
          <w:rPr>
            <w:noProof/>
          </w:rPr>
        </w:r>
        <w:r w:rsidR="00821F7A">
          <w:rPr>
            <w:noProof/>
          </w:rPr>
          <w:fldChar w:fldCharType="separate"/>
        </w:r>
        <w:r w:rsidR="008B7F6C">
          <w:rPr>
            <w:noProof/>
          </w:rPr>
          <w:t>56</w:t>
        </w:r>
        <w:r w:rsidR="00821F7A">
          <w:rPr>
            <w:noProof/>
          </w:rPr>
          <w:fldChar w:fldCharType="end"/>
        </w:r>
      </w:hyperlink>
    </w:p>
    <w:p w14:paraId="5A0AAFA4" w14:textId="02521947" w:rsidR="00E3116F" w:rsidRDefault="003E4BE7">
      <w:pPr>
        <w:pStyle w:val="21"/>
        <w:spacing w:line="360" w:lineRule="auto"/>
        <w:rPr>
          <w:noProof/>
        </w:rPr>
      </w:pPr>
      <w:hyperlink w:anchor="_Toc516758915" w:history="1">
        <w:r w:rsidR="00821F7A">
          <w:rPr>
            <w:rFonts w:ascii="宋体" w:hAnsi="宋体" w:hint="eastAsia"/>
            <w:noProof/>
            <w:sz w:val="28"/>
            <w:szCs w:val="28"/>
          </w:rPr>
          <w:t>二十一、托管协议的签订</w:t>
        </w:r>
        <w:r w:rsidR="00821F7A">
          <w:rPr>
            <w:noProof/>
          </w:rPr>
          <w:tab/>
        </w:r>
        <w:r w:rsidR="00821F7A">
          <w:rPr>
            <w:noProof/>
          </w:rPr>
          <w:fldChar w:fldCharType="begin"/>
        </w:r>
        <w:r w:rsidR="00821F7A">
          <w:rPr>
            <w:noProof/>
          </w:rPr>
          <w:instrText xml:space="preserve"> PAGEREF _Toc516758915 \h </w:instrText>
        </w:r>
        <w:r w:rsidR="00821F7A">
          <w:rPr>
            <w:noProof/>
          </w:rPr>
        </w:r>
        <w:r w:rsidR="00821F7A">
          <w:rPr>
            <w:noProof/>
          </w:rPr>
          <w:fldChar w:fldCharType="separate"/>
        </w:r>
        <w:r w:rsidR="008B7F6C">
          <w:rPr>
            <w:noProof/>
          </w:rPr>
          <w:t>56</w:t>
        </w:r>
        <w:r w:rsidR="00821F7A">
          <w:rPr>
            <w:noProof/>
          </w:rPr>
          <w:fldChar w:fldCharType="end"/>
        </w:r>
      </w:hyperlink>
    </w:p>
    <w:p w14:paraId="67011B04" w14:textId="583A45EE" w:rsidR="00E3116F" w:rsidRDefault="00821F7A">
      <w:pPr>
        <w:widowControl/>
        <w:adjustRightInd w:val="0"/>
        <w:snapToGrid w:val="0"/>
        <w:spacing w:line="360" w:lineRule="auto"/>
        <w:ind w:firstLineChars="200" w:firstLine="560"/>
        <w:rPr>
          <w:rFonts w:ascii="宋体" w:hAnsi="宋体" w:cs="Arial"/>
          <w:kern w:val="0"/>
          <w:sz w:val="24"/>
        </w:rPr>
      </w:pPr>
      <w:r>
        <w:rPr>
          <w:rFonts w:ascii="宋体" w:hAnsi="宋体" w:hint="eastAsia"/>
          <w:sz w:val="28"/>
          <w:szCs w:val="28"/>
        </w:rPr>
        <w:lastRenderedPageBreak/>
        <w:fldChar w:fldCharType="end"/>
      </w:r>
      <w:r>
        <w:rPr>
          <w:rFonts w:ascii="宋体" w:hAnsi="宋体" w:cs="Arial" w:hint="eastAsia"/>
          <w:kern w:val="0"/>
          <w:sz w:val="24"/>
        </w:rPr>
        <w:t>鉴于银华基金管理股份有限公司系一家依照中国法律合法成立并有效存续的股份有限公司，按照相关法律法规的规定具备担任基金管理人的资格和能力，拟募集发行银华</w:t>
      </w:r>
      <w:r w:rsidR="00B51019">
        <w:rPr>
          <w:rFonts w:ascii="宋体" w:hAnsi="宋体" w:cs="Arial" w:hint="eastAsia"/>
          <w:kern w:val="0"/>
          <w:sz w:val="24"/>
        </w:rPr>
        <w:t>医疗创新混合型证券投资基金（QDII）</w:t>
      </w:r>
      <w:r>
        <w:rPr>
          <w:rFonts w:ascii="宋体" w:hAnsi="宋体" w:cs="Arial" w:hint="eastAsia"/>
          <w:kern w:val="0"/>
          <w:sz w:val="24"/>
        </w:rPr>
        <w:t>；</w:t>
      </w:r>
    </w:p>
    <w:p w14:paraId="30764CA2" w14:textId="77777777" w:rsidR="00E3116F" w:rsidRDefault="00821F7A">
      <w:pPr>
        <w:widowControl/>
        <w:adjustRightInd w:val="0"/>
        <w:snapToGrid w:val="0"/>
        <w:spacing w:line="360" w:lineRule="auto"/>
        <w:ind w:firstLineChars="200" w:firstLine="480"/>
        <w:rPr>
          <w:rFonts w:ascii="宋体" w:hAnsi="宋体" w:cs="Arial"/>
          <w:kern w:val="0"/>
          <w:sz w:val="24"/>
        </w:rPr>
      </w:pPr>
      <w:r>
        <w:rPr>
          <w:rFonts w:ascii="宋体" w:hAnsi="宋体" w:cs="Arial" w:hint="eastAsia"/>
          <w:kern w:val="0"/>
          <w:sz w:val="24"/>
        </w:rPr>
        <w:t>鉴于中国建设银行股份有限公司系一家依照中国法律合法成立并有效存续的银行，按照相关法律法规的规定具备担任基金托管人的资格和能力；</w:t>
      </w:r>
    </w:p>
    <w:p w14:paraId="4566B712" w14:textId="79656A13" w:rsidR="00E3116F" w:rsidRDefault="00821F7A">
      <w:pPr>
        <w:widowControl/>
        <w:adjustRightInd w:val="0"/>
        <w:snapToGrid w:val="0"/>
        <w:spacing w:line="360" w:lineRule="auto"/>
        <w:ind w:firstLineChars="200" w:firstLine="480"/>
        <w:rPr>
          <w:rFonts w:ascii="宋体" w:hAnsi="宋体" w:cs="Arial"/>
          <w:kern w:val="0"/>
          <w:sz w:val="24"/>
        </w:rPr>
      </w:pPr>
      <w:r>
        <w:rPr>
          <w:rFonts w:ascii="宋体" w:hAnsi="宋体" w:cs="Arial" w:hint="eastAsia"/>
          <w:kern w:val="0"/>
          <w:sz w:val="24"/>
        </w:rPr>
        <w:t>鉴于银华基金管理股份有限公司拟担任银华</w:t>
      </w:r>
      <w:r w:rsidR="00B51019">
        <w:rPr>
          <w:rFonts w:ascii="宋体" w:hAnsi="宋体" w:cs="Arial" w:hint="eastAsia"/>
          <w:kern w:val="0"/>
          <w:sz w:val="24"/>
        </w:rPr>
        <w:t>医疗创新混合型证券投资基金（QDII）</w:t>
      </w:r>
      <w:r>
        <w:rPr>
          <w:rFonts w:ascii="宋体" w:hAnsi="宋体" w:cs="Arial" w:hint="eastAsia"/>
          <w:kern w:val="0"/>
          <w:sz w:val="24"/>
        </w:rPr>
        <w:t>的基金管理人，中国建设银行股份有限公司拟担任银华</w:t>
      </w:r>
      <w:r w:rsidR="00B51019">
        <w:rPr>
          <w:rFonts w:ascii="宋体" w:hAnsi="宋体" w:cs="Arial" w:hint="eastAsia"/>
          <w:kern w:val="0"/>
          <w:sz w:val="24"/>
        </w:rPr>
        <w:t>医疗创新混合型证券投资基金（QDII）</w:t>
      </w:r>
      <w:r>
        <w:rPr>
          <w:rFonts w:ascii="宋体" w:hAnsi="宋体" w:cs="Arial" w:hint="eastAsia"/>
          <w:kern w:val="0"/>
          <w:sz w:val="24"/>
        </w:rPr>
        <w:t>的基金托管人；</w:t>
      </w:r>
    </w:p>
    <w:p w14:paraId="108A0DAD" w14:textId="42A35A95" w:rsidR="00E3116F" w:rsidRDefault="00821F7A">
      <w:pPr>
        <w:widowControl/>
        <w:adjustRightInd w:val="0"/>
        <w:snapToGrid w:val="0"/>
        <w:spacing w:line="360" w:lineRule="auto"/>
        <w:ind w:firstLineChars="200" w:firstLine="480"/>
        <w:rPr>
          <w:rFonts w:ascii="宋体" w:hAnsi="宋体" w:cs="Arial"/>
          <w:kern w:val="0"/>
          <w:sz w:val="24"/>
        </w:rPr>
      </w:pPr>
      <w:r>
        <w:rPr>
          <w:rFonts w:ascii="宋体" w:hAnsi="宋体" w:cs="Arial" w:hint="eastAsia"/>
          <w:kern w:val="0"/>
          <w:sz w:val="24"/>
        </w:rPr>
        <w:t>为明确银华</w:t>
      </w:r>
      <w:r w:rsidR="00B51019">
        <w:rPr>
          <w:rFonts w:ascii="宋体" w:hAnsi="宋体" w:cs="Arial" w:hint="eastAsia"/>
          <w:kern w:val="0"/>
          <w:sz w:val="24"/>
        </w:rPr>
        <w:t>医疗创新混合型证券投资基金（QDII）</w:t>
      </w:r>
      <w:r>
        <w:rPr>
          <w:rFonts w:ascii="宋体" w:hAnsi="宋体" w:cs="Arial" w:hint="eastAsia"/>
          <w:kern w:val="0"/>
          <w:sz w:val="24"/>
        </w:rPr>
        <w:t>的基金管理人和基金托管人之间的权利义务关系，特制订本托管协议；</w:t>
      </w:r>
    </w:p>
    <w:p w14:paraId="1B3B5B0D" w14:textId="0FD6CD64" w:rsidR="00E3116F" w:rsidRDefault="00821F7A">
      <w:pPr>
        <w:widowControl/>
        <w:adjustRightInd w:val="0"/>
        <w:snapToGrid w:val="0"/>
        <w:spacing w:line="360" w:lineRule="auto"/>
        <w:ind w:firstLineChars="200" w:firstLine="480"/>
        <w:rPr>
          <w:rFonts w:ascii="宋体" w:hAnsi="宋体" w:cs="Arial"/>
          <w:kern w:val="0"/>
          <w:sz w:val="24"/>
          <w:lang w:val="en-GB"/>
        </w:rPr>
      </w:pPr>
      <w:r>
        <w:rPr>
          <w:rFonts w:ascii="宋体" w:hAnsi="宋体" w:cs="Arial" w:hint="eastAsia"/>
          <w:kern w:val="0"/>
          <w:sz w:val="24"/>
          <w:lang w:val="en-GB"/>
        </w:rPr>
        <w:t>除非另有约定，《</w:t>
      </w:r>
      <w:r>
        <w:rPr>
          <w:rFonts w:ascii="宋体" w:hAnsi="宋体" w:cs="Arial" w:hint="eastAsia"/>
          <w:kern w:val="0"/>
          <w:sz w:val="24"/>
        </w:rPr>
        <w:t>银华</w:t>
      </w:r>
      <w:r w:rsidR="00B51019">
        <w:rPr>
          <w:rFonts w:ascii="宋体" w:hAnsi="宋体" w:cs="Arial" w:hint="eastAsia"/>
          <w:kern w:val="0"/>
          <w:sz w:val="24"/>
        </w:rPr>
        <w:t>医疗创新混合型证券投资基金（QDII）</w:t>
      </w:r>
      <w:r>
        <w:rPr>
          <w:rFonts w:ascii="宋体" w:hAnsi="宋体" w:cs="Arial" w:hint="eastAsia"/>
          <w:kern w:val="0"/>
          <w:sz w:val="24"/>
          <w:lang w:val="en-GB"/>
        </w:rPr>
        <w:t>基金合同》（以下简称“基金合同”）中定义的术语在用于本托管协议时应具有相同的含义；若有抵触应以《基金合同》为准，并依其</w:t>
      </w:r>
      <w:r>
        <w:rPr>
          <w:rFonts w:ascii="宋体" w:hAnsi="宋体" w:cs="Arial" w:hint="eastAsia"/>
          <w:kern w:val="0"/>
          <w:sz w:val="24"/>
        </w:rPr>
        <w:t>条款</w:t>
      </w:r>
      <w:r>
        <w:rPr>
          <w:rFonts w:ascii="宋体" w:hAnsi="宋体" w:cs="Arial" w:hint="eastAsia"/>
          <w:kern w:val="0"/>
          <w:sz w:val="24"/>
          <w:lang w:val="en-GB"/>
        </w:rPr>
        <w:t>解释。</w:t>
      </w:r>
    </w:p>
    <w:p w14:paraId="4F20B3D9" w14:textId="77777777" w:rsidR="00E3116F" w:rsidRDefault="00821F7A">
      <w:pPr>
        <w:widowControl/>
        <w:adjustRightInd w:val="0"/>
        <w:snapToGrid w:val="0"/>
        <w:spacing w:line="360" w:lineRule="auto"/>
        <w:ind w:firstLineChars="200" w:firstLine="480"/>
        <w:rPr>
          <w:rFonts w:ascii="宋体" w:hAnsi="宋体" w:cs="Arial"/>
          <w:kern w:val="0"/>
          <w:sz w:val="24"/>
          <w:lang w:val="en-GB"/>
        </w:rPr>
      </w:pPr>
      <w:r>
        <w:rPr>
          <w:rFonts w:ascii="宋体" w:hAnsi="宋体" w:cs="Arial" w:hint="eastAsia"/>
          <w:kern w:val="0"/>
          <w:sz w:val="24"/>
          <w:lang w:val="en-GB"/>
        </w:rPr>
        <w:t>若本基金实施侧袋机制的，侧袋机制实施期间的相关安排见基金合同和招募说明书的规定。</w:t>
      </w:r>
    </w:p>
    <w:p w14:paraId="34A07987" w14:textId="77777777" w:rsidR="00E3116F" w:rsidRDefault="00E3116F">
      <w:pPr>
        <w:spacing w:line="360" w:lineRule="auto"/>
        <w:rPr>
          <w:rFonts w:ascii="宋体" w:hAnsi="宋体"/>
          <w:sz w:val="24"/>
          <w:lang w:val="en-GB"/>
        </w:rPr>
      </w:pPr>
    </w:p>
    <w:p w14:paraId="0B6306E3" w14:textId="77777777" w:rsidR="00E3116F" w:rsidRDefault="00821F7A">
      <w:pPr>
        <w:pStyle w:val="2"/>
        <w:spacing w:line="360" w:lineRule="auto"/>
        <w:jc w:val="center"/>
        <w:rPr>
          <w:rFonts w:ascii="宋体" w:eastAsia="宋体" w:hAnsi="宋体"/>
        </w:rPr>
      </w:pPr>
      <w:bookmarkStart w:id="7" w:name="_Toc516758895"/>
      <w:r>
        <w:rPr>
          <w:rFonts w:ascii="宋体" w:eastAsia="宋体" w:hAnsi="宋体" w:hint="eastAsia"/>
        </w:rPr>
        <w:t>一、基金托管协议当事人</w:t>
      </w:r>
      <w:bookmarkEnd w:id="7"/>
    </w:p>
    <w:p w14:paraId="710BF9F2" w14:textId="77777777" w:rsidR="00E3116F" w:rsidRDefault="00821F7A">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（一）基金管理人（或称“管理人”）</w:t>
      </w:r>
    </w:p>
    <w:p w14:paraId="73809DB1" w14:textId="77777777" w:rsidR="00E3116F" w:rsidRDefault="00821F7A">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名称：银华基金管理股份有限公司</w:t>
      </w:r>
    </w:p>
    <w:p w14:paraId="282E74FB" w14:textId="77777777" w:rsidR="00E3116F" w:rsidRDefault="00821F7A">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住所：深圳市福田区深南大道6008号特区报业大厦19层</w:t>
      </w:r>
    </w:p>
    <w:p w14:paraId="194A8765" w14:textId="77777777" w:rsidR="00E3116F" w:rsidRDefault="00821F7A">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办公地址：北京市东城区东长安街1号东方广场东方经贸城C2办公楼15层</w:t>
      </w:r>
    </w:p>
    <w:p w14:paraId="5B38E8BC" w14:textId="77777777" w:rsidR="00E3116F" w:rsidRDefault="00821F7A">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邮政编码：</w:t>
      </w:r>
      <w:r>
        <w:rPr>
          <w:rFonts w:ascii="宋体" w:hAnsi="宋体" w:cs="Arial"/>
          <w:sz w:val="24"/>
        </w:rPr>
        <w:t>100738</w:t>
      </w:r>
    </w:p>
    <w:p w14:paraId="3145533B" w14:textId="77777777" w:rsidR="00E3116F" w:rsidRDefault="00821F7A">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法定代表人：王珠林</w:t>
      </w:r>
    </w:p>
    <w:p w14:paraId="4B96DD98" w14:textId="77777777" w:rsidR="00E3116F" w:rsidRDefault="00821F7A">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成立日期：2001年5月28日</w:t>
      </w:r>
    </w:p>
    <w:p w14:paraId="75BFDDEB" w14:textId="77777777" w:rsidR="00E3116F" w:rsidRDefault="00821F7A">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批准设立机关及批准设立文号：中国证监会证监基金字[</w:t>
      </w:r>
      <w:r>
        <w:rPr>
          <w:rFonts w:ascii="宋体" w:hAnsi="宋体" w:cs="Arial"/>
          <w:sz w:val="24"/>
        </w:rPr>
        <w:t>2001</w:t>
      </w:r>
      <w:r>
        <w:rPr>
          <w:rFonts w:ascii="宋体" w:hAnsi="宋体" w:cs="Arial" w:hint="eastAsia"/>
          <w:sz w:val="24"/>
        </w:rPr>
        <w:t>]</w:t>
      </w:r>
      <w:r>
        <w:rPr>
          <w:rFonts w:ascii="宋体" w:hAnsi="宋体" w:cs="Arial"/>
          <w:sz w:val="24"/>
        </w:rPr>
        <w:t>7</w:t>
      </w:r>
      <w:r>
        <w:rPr>
          <w:rFonts w:ascii="宋体" w:hAnsi="宋体" w:cs="Arial" w:hint="eastAsia"/>
          <w:sz w:val="24"/>
        </w:rPr>
        <w:t>号</w:t>
      </w:r>
    </w:p>
    <w:p w14:paraId="5CB16812" w14:textId="77777777" w:rsidR="00E3116F" w:rsidRDefault="00821F7A">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组织形式：股份有限公司</w:t>
      </w:r>
    </w:p>
    <w:p w14:paraId="1CF2635E" w14:textId="77777777" w:rsidR="00E3116F" w:rsidRDefault="00821F7A">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注册资本：贰亿贰仟</w:t>
      </w:r>
      <w:r>
        <w:rPr>
          <w:rFonts w:ascii="宋体" w:hAnsi="宋体" w:cs="Arial"/>
          <w:sz w:val="24"/>
        </w:rPr>
        <w:t>贰佰贰拾万</w:t>
      </w:r>
      <w:r>
        <w:rPr>
          <w:rFonts w:ascii="宋体" w:hAnsi="宋体" w:cs="Arial" w:hint="eastAsia"/>
          <w:sz w:val="24"/>
        </w:rPr>
        <w:t>元人民币</w:t>
      </w:r>
    </w:p>
    <w:p w14:paraId="19DAC50C" w14:textId="77777777" w:rsidR="00E3116F" w:rsidRDefault="00821F7A">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存续期间：持续经营</w:t>
      </w:r>
    </w:p>
    <w:p w14:paraId="78C6242A" w14:textId="77777777" w:rsidR="00E3116F" w:rsidRDefault="00821F7A">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lastRenderedPageBreak/>
        <w:t>联系电话：010-58163000</w:t>
      </w:r>
    </w:p>
    <w:p w14:paraId="6466520C" w14:textId="77777777" w:rsidR="00E3116F" w:rsidRDefault="00821F7A">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经营范围：基金募集、基金销售、资产管理、中国证监会许可的其他业务</w:t>
      </w:r>
    </w:p>
    <w:p w14:paraId="44667AB0" w14:textId="77777777" w:rsidR="00E3116F" w:rsidRDefault="00821F7A">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（二）基金托管人（或称“托管人”）</w:t>
      </w:r>
    </w:p>
    <w:p w14:paraId="2A7D9418"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名称：中国建设银行股份有限公司</w:t>
      </w:r>
    </w:p>
    <w:p w14:paraId="2EA7349C"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住所：北京市西城区金融大街25号</w:t>
      </w:r>
    </w:p>
    <w:p w14:paraId="5F9A20FB"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办公地址：北京市西城区闹市口大街1号院1号楼</w:t>
      </w:r>
    </w:p>
    <w:p w14:paraId="36F034FF"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邮政编码：100033</w:t>
      </w:r>
    </w:p>
    <w:p w14:paraId="382DDF1F"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法定代表人：张金良</w:t>
      </w:r>
    </w:p>
    <w:p w14:paraId="52D582D9"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成立日期：2004年09月17日</w:t>
      </w:r>
    </w:p>
    <w:p w14:paraId="6409AFD2"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基金托管业务批准文号：中国证监会证监基字[1998]12号</w:t>
      </w:r>
    </w:p>
    <w:p w14:paraId="62AB0831"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组织形式：股份有限公司</w:t>
      </w:r>
    </w:p>
    <w:p w14:paraId="56663822"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注册资本：人民币</w:t>
      </w:r>
      <w:r>
        <w:rPr>
          <w:rFonts w:ascii="宋体" w:hAnsi="宋体" w:hint="eastAsia"/>
          <w:sz w:val="24"/>
        </w:rPr>
        <w:t>贰仟伍佰亿壹仟零玖拾柒万柒仟肆佰捌拾陆元整</w:t>
      </w:r>
    </w:p>
    <w:p w14:paraId="2A84659E"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存续期间：持续经营</w:t>
      </w:r>
    </w:p>
    <w:p w14:paraId="343B1C24" w14:textId="77777777" w:rsidR="00E3116F" w:rsidRDefault="00821F7A">
      <w:pPr>
        <w:tabs>
          <w:tab w:val="left" w:pos="540"/>
        </w:tabs>
        <w:adjustRightInd w:val="0"/>
        <w:snapToGrid w:val="0"/>
        <w:spacing w:line="360" w:lineRule="auto"/>
        <w:ind w:firstLineChars="200" w:firstLine="480"/>
        <w:rPr>
          <w:rFonts w:ascii="宋体" w:hAnsi="宋体" w:cs="Arial"/>
          <w:sz w:val="24"/>
        </w:rPr>
      </w:pPr>
      <w:r>
        <w:rPr>
          <w:rFonts w:ascii="宋体"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5AB35E54" w14:textId="77777777" w:rsidR="00E3116F" w:rsidRDefault="00E3116F">
      <w:pPr>
        <w:spacing w:line="360" w:lineRule="auto"/>
        <w:rPr>
          <w:rFonts w:ascii="宋体" w:hAnsi="宋体"/>
          <w:sz w:val="24"/>
        </w:rPr>
      </w:pPr>
    </w:p>
    <w:p w14:paraId="2E36A0C5" w14:textId="77777777" w:rsidR="00E3116F" w:rsidRDefault="00821F7A">
      <w:pPr>
        <w:pStyle w:val="2"/>
        <w:spacing w:line="360" w:lineRule="auto"/>
        <w:jc w:val="center"/>
        <w:rPr>
          <w:rFonts w:ascii="宋体" w:eastAsia="宋体" w:hAnsi="宋体"/>
          <w:sz w:val="30"/>
        </w:rPr>
      </w:pPr>
      <w:bookmarkStart w:id="8" w:name="_Toc516758896"/>
      <w:r>
        <w:rPr>
          <w:rFonts w:ascii="宋体" w:eastAsia="宋体" w:hAnsi="宋体" w:hint="eastAsia"/>
          <w:sz w:val="30"/>
        </w:rPr>
        <w:t>二、基金托管协议的依据、目的和原则</w:t>
      </w:r>
      <w:bookmarkEnd w:id="8"/>
    </w:p>
    <w:p w14:paraId="00C280C2" w14:textId="77777777" w:rsidR="00E3116F" w:rsidRDefault="00821F7A">
      <w:pPr>
        <w:adjustRightInd w:val="0"/>
        <w:snapToGrid w:val="0"/>
        <w:spacing w:line="360" w:lineRule="auto"/>
        <w:ind w:firstLineChars="200" w:firstLine="480"/>
        <w:rPr>
          <w:rFonts w:ascii="宋体" w:hAnsi="宋体"/>
          <w:sz w:val="24"/>
          <w:szCs w:val="30"/>
        </w:rPr>
      </w:pPr>
      <w:r>
        <w:rPr>
          <w:rFonts w:ascii="宋体" w:hAnsi="宋体" w:cs="Arial" w:hint="eastAsia"/>
          <w:sz w:val="24"/>
        </w:rPr>
        <w:t>（一）订立托管协议的依据</w:t>
      </w:r>
    </w:p>
    <w:p w14:paraId="40D24820" w14:textId="5873F58A"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本协议依据《中华人民共和国证券投资基金法》（以下简称“《基金法》”）、《公开募集证券投资基金运作管理办法》（以下简称“《运作办法》”）、《公开募集证券投资基金销售机构监督管理办法》（以下简称“《销售办法》”）、《</w:t>
      </w:r>
      <w:r>
        <w:rPr>
          <w:rFonts w:ascii="宋体" w:hAnsi="宋体" w:hint="eastAsia"/>
          <w:bCs/>
          <w:sz w:val="24"/>
        </w:rPr>
        <w:t>公开募集</w:t>
      </w:r>
      <w:r>
        <w:rPr>
          <w:rFonts w:ascii="宋体" w:hAnsi="宋体" w:cs="Arial" w:hint="eastAsia"/>
          <w:sz w:val="24"/>
        </w:rPr>
        <w:t>证券投资基金信息披露管理办法》（以下简称“《信息披露办法》”）、</w:t>
      </w:r>
      <w:r w:rsidR="00795335" w:rsidRPr="000E2D5A">
        <w:rPr>
          <w:rFonts w:ascii="宋体" w:hAnsi="宋体" w:hint="eastAsia"/>
          <w:bCs/>
          <w:sz w:val="24"/>
        </w:rPr>
        <w:t>《合格境内机构投资者境外证券投资管理试行办法》、《关于实施&lt;合格境内机构投资者境外证券投资管理试行办法&gt;有关问题的通知》、</w:t>
      </w:r>
      <w:r>
        <w:rPr>
          <w:rFonts w:ascii="宋体" w:hAnsi="宋体" w:cs="Arial" w:hint="eastAsia"/>
          <w:sz w:val="24"/>
        </w:rPr>
        <w:t>《公开募集开放式证券投资基金流动性风险管理规定》（以下简称“《流动性风险管理规定》”）、《公开募集</w:t>
      </w:r>
      <w:r>
        <w:rPr>
          <w:rFonts w:ascii="宋体" w:hAnsi="宋体" w:cs="Arial" w:hint="eastAsia"/>
          <w:sz w:val="24"/>
        </w:rPr>
        <w:lastRenderedPageBreak/>
        <w:t>证券投资基金侧袋机制指引（试行）》等有关法律法规、《基金合同》及其他有关规定制订。</w:t>
      </w:r>
    </w:p>
    <w:p w14:paraId="5E25CF90"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（二）订立托管协议的目的</w:t>
      </w:r>
    </w:p>
    <w:p w14:paraId="6B98A7BE" w14:textId="77777777" w:rsidR="00E3116F" w:rsidRDefault="00821F7A">
      <w:pPr>
        <w:adjustRightInd w:val="0"/>
        <w:snapToGrid w:val="0"/>
        <w:spacing w:line="360" w:lineRule="auto"/>
        <w:ind w:firstLineChars="200" w:firstLine="480"/>
        <w:rPr>
          <w:rFonts w:ascii="宋体" w:hAnsi="宋体"/>
          <w:sz w:val="24"/>
          <w:szCs w:val="30"/>
        </w:rPr>
      </w:pPr>
      <w:r>
        <w:rPr>
          <w:rFonts w:ascii="宋体"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5A681B75"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（三）订立托管协议的原则</w:t>
      </w:r>
    </w:p>
    <w:p w14:paraId="66F24605"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基金管理人和基金托管人本着平等自愿、诚实信用、充分保护基金份额持有人合法权益的原则，经协商一致，签订本协议。</w:t>
      </w:r>
    </w:p>
    <w:p w14:paraId="77752AF2" w14:textId="77777777" w:rsidR="00E3116F" w:rsidRDefault="00E3116F">
      <w:pPr>
        <w:spacing w:line="360" w:lineRule="auto"/>
        <w:rPr>
          <w:rFonts w:ascii="宋体" w:hAnsi="宋体"/>
          <w:sz w:val="24"/>
        </w:rPr>
      </w:pPr>
    </w:p>
    <w:p w14:paraId="64FD6CCA" w14:textId="77777777" w:rsidR="00E3116F" w:rsidRDefault="00821F7A">
      <w:pPr>
        <w:pStyle w:val="2"/>
        <w:spacing w:line="360" w:lineRule="auto"/>
        <w:jc w:val="center"/>
        <w:rPr>
          <w:rFonts w:ascii="宋体" w:eastAsia="宋体" w:hAnsi="宋体"/>
          <w:sz w:val="30"/>
          <w:szCs w:val="24"/>
        </w:rPr>
      </w:pPr>
      <w:bookmarkStart w:id="9" w:name="_Toc516758897"/>
      <w:r>
        <w:rPr>
          <w:rFonts w:ascii="宋体" w:eastAsia="宋体" w:hAnsi="宋体" w:hint="eastAsia"/>
          <w:sz w:val="30"/>
        </w:rPr>
        <w:t>三、基金托管人对基金管理人的业务监督和核查</w:t>
      </w:r>
      <w:bookmarkEnd w:id="9"/>
    </w:p>
    <w:p w14:paraId="69436A5B" w14:textId="00ADB62B" w:rsidR="00E3116F" w:rsidRDefault="00821F7A">
      <w:pPr>
        <w:adjustRightInd w:val="0"/>
        <w:snapToGrid w:val="0"/>
        <w:spacing w:line="360" w:lineRule="auto"/>
        <w:ind w:firstLineChars="200" w:firstLine="480"/>
        <w:rPr>
          <w:rFonts w:ascii="宋体" w:hAnsi="宋体" w:cs="Arial"/>
          <w:bCs/>
          <w:sz w:val="24"/>
        </w:rPr>
      </w:pPr>
      <w:r>
        <w:rPr>
          <w:rFonts w:ascii="宋体" w:hAnsi="宋体" w:cs="Arial" w:hint="eastAsia"/>
          <w:bCs/>
          <w:sz w:val="24"/>
        </w:rPr>
        <w:t>（一）基金托管人根据有关法律法规的规定及《基金合同》的约定，对基金投资范围、投资对象进行监督。《基金合同》明确约定基金投资风格或证券选择标准的，基金管理人应按照基金托管人要求的格式，将拟投资的标的证券库提供给基金托管人，基金管理人可以根据实际情况的变化，对标的证券库予以更新和调整并及时书面通知基金托管人。基金托管人根据上述投资范围对基金实际投资是否符合《基金合同》关于证券选择标准的约定进行监督。</w:t>
      </w:r>
    </w:p>
    <w:p w14:paraId="3002EE6E" w14:textId="77777777" w:rsidR="00B51019" w:rsidRPr="00B51019" w:rsidRDefault="00B51019" w:rsidP="00B51019">
      <w:pPr>
        <w:adjustRightInd w:val="0"/>
        <w:snapToGrid w:val="0"/>
        <w:spacing w:line="360" w:lineRule="auto"/>
        <w:ind w:firstLineChars="200" w:firstLine="480"/>
        <w:rPr>
          <w:rFonts w:ascii="宋体" w:hAnsi="宋体" w:cs="Arial"/>
          <w:bCs/>
          <w:sz w:val="24"/>
        </w:rPr>
      </w:pPr>
      <w:bookmarkStart w:id="10" w:name="_Hlk172127702"/>
      <w:bookmarkStart w:id="11" w:name="_Hlk83905076"/>
      <w:r w:rsidRPr="00B51019">
        <w:rPr>
          <w:rFonts w:ascii="宋体" w:hAnsi="宋体" w:cs="Arial" w:hint="eastAsia"/>
          <w:bCs/>
          <w:sz w:val="24"/>
        </w:rPr>
        <w:t>本基金可投资于境内市场和香港市场依法发行的金融工具。</w:t>
      </w:r>
    </w:p>
    <w:p w14:paraId="7B81C68D" w14:textId="002C6115" w:rsidR="00B51019" w:rsidRPr="00B51019" w:rsidRDefault="00270C6B" w:rsidP="00B51019">
      <w:pPr>
        <w:adjustRightInd w:val="0"/>
        <w:snapToGrid w:val="0"/>
        <w:spacing w:line="360" w:lineRule="auto"/>
        <w:ind w:firstLineChars="200" w:firstLine="480"/>
        <w:rPr>
          <w:rFonts w:ascii="宋体" w:hAnsi="宋体" w:cs="Arial"/>
          <w:bCs/>
          <w:sz w:val="24"/>
        </w:rPr>
      </w:pPr>
      <w:r>
        <w:rPr>
          <w:rFonts w:ascii="宋体" w:hAnsi="宋体" w:hint="eastAsia"/>
          <w:bCs/>
          <w:sz w:val="24"/>
          <w:szCs w:val="24"/>
        </w:rPr>
        <w:t>本基金的投资范围包括</w:t>
      </w:r>
      <w:r w:rsidR="00B51019" w:rsidRPr="00B51019">
        <w:rPr>
          <w:rFonts w:ascii="宋体" w:hAnsi="宋体" w:cs="Arial" w:hint="eastAsia"/>
          <w:bCs/>
          <w:sz w:val="24"/>
        </w:rPr>
        <w:t>国内依法发行上市的股票（包括主板股票、创业板股票、科创板股票、存托凭证及其他经中国证监会核准或注册上市的股票）、港股通标的股票、债券（包括国债、央行票据、金融债券、企业债券、公司债券、次级债券、地方政府债券、政府支持机构债、中期票据、可转换公司债券（含分离交易的可转换公司债券）、可交换债券、短期融资券、超短期融资券以及其他中国证监会允许投资的债券）、资产支持证券、债券回购、股指期货、股票期权、国债期货、银行存款（包括协议存款、定期存款及其他银行存款）、同业存单、现金以及法律法规或中国证监会允许基金投资的其他金融工具（但须符合中国证监会相关规定）。</w:t>
      </w:r>
    </w:p>
    <w:p w14:paraId="3CAB1233" w14:textId="77777777" w:rsidR="00B51019" w:rsidRPr="00B51019" w:rsidRDefault="00B51019" w:rsidP="00B51019">
      <w:pPr>
        <w:adjustRightInd w:val="0"/>
        <w:snapToGrid w:val="0"/>
        <w:spacing w:line="360" w:lineRule="auto"/>
        <w:ind w:firstLineChars="200" w:firstLine="480"/>
        <w:rPr>
          <w:rFonts w:ascii="宋体" w:hAnsi="宋体" w:cs="Arial"/>
          <w:bCs/>
          <w:sz w:val="24"/>
        </w:rPr>
      </w:pPr>
      <w:r w:rsidRPr="00B51019">
        <w:rPr>
          <w:rFonts w:ascii="宋体" w:hAnsi="宋体" w:cs="Arial" w:hint="eastAsia"/>
          <w:bCs/>
          <w:sz w:val="24"/>
        </w:rPr>
        <w:t>本基金可根据相关法律法规和基金合同的约定，参与融资业务。</w:t>
      </w:r>
    </w:p>
    <w:p w14:paraId="09E5F57D" w14:textId="0268D20D" w:rsidR="00B51019" w:rsidRPr="00B51019" w:rsidRDefault="00270C6B" w:rsidP="00B51019">
      <w:pPr>
        <w:adjustRightInd w:val="0"/>
        <w:snapToGrid w:val="0"/>
        <w:spacing w:line="360" w:lineRule="auto"/>
        <w:ind w:firstLineChars="200" w:firstLine="480"/>
        <w:rPr>
          <w:rFonts w:ascii="宋体" w:hAnsi="宋体" w:cs="Arial"/>
          <w:bCs/>
          <w:sz w:val="24"/>
        </w:rPr>
      </w:pPr>
      <w:r w:rsidRPr="00747AB9">
        <w:rPr>
          <w:rFonts w:ascii="宋体" w:hAnsi="宋体" w:hint="eastAsia"/>
          <w:bCs/>
          <w:sz w:val="24"/>
          <w:szCs w:val="24"/>
        </w:rPr>
        <w:t>本基金还可投资</w:t>
      </w:r>
      <w:r w:rsidR="00B51019" w:rsidRPr="00B51019">
        <w:rPr>
          <w:rFonts w:ascii="宋体" w:hAnsi="宋体" w:cs="Arial" w:hint="eastAsia"/>
          <w:bCs/>
          <w:sz w:val="24"/>
        </w:rPr>
        <w:t>港股通标的股票以外的香港证券市场挂牌交易的普通股、优</w:t>
      </w:r>
      <w:r w:rsidR="00B51019" w:rsidRPr="00B51019">
        <w:rPr>
          <w:rFonts w:ascii="宋体" w:hAnsi="宋体" w:cs="Arial" w:hint="eastAsia"/>
          <w:bCs/>
          <w:sz w:val="24"/>
        </w:rPr>
        <w:lastRenderedPageBreak/>
        <w:t>先股、全球存托凭证，银行存款，以及法律法规或中国证监会允许基金投资的其他金融工具。</w:t>
      </w:r>
    </w:p>
    <w:p w14:paraId="56077069" w14:textId="77777777" w:rsidR="00B51019" w:rsidRPr="00B51019" w:rsidRDefault="00B51019" w:rsidP="00B51019">
      <w:pPr>
        <w:adjustRightInd w:val="0"/>
        <w:snapToGrid w:val="0"/>
        <w:spacing w:line="360" w:lineRule="auto"/>
        <w:ind w:firstLineChars="200" w:firstLine="480"/>
        <w:rPr>
          <w:rFonts w:ascii="宋体" w:hAnsi="宋体" w:cs="Arial"/>
          <w:bCs/>
          <w:sz w:val="24"/>
        </w:rPr>
      </w:pPr>
      <w:r w:rsidRPr="00B51019">
        <w:rPr>
          <w:rFonts w:ascii="宋体" w:hAnsi="宋体" w:cs="Arial" w:hint="eastAsia"/>
          <w:bCs/>
          <w:sz w:val="24"/>
        </w:rPr>
        <w:t>本基金还可以进行境外证券借贷交易、境外正回购交易、逆回购交易。</w:t>
      </w:r>
    </w:p>
    <w:p w14:paraId="7670483A" w14:textId="77777777" w:rsidR="00B51019" w:rsidRPr="00B51019" w:rsidRDefault="00B51019" w:rsidP="00B51019">
      <w:pPr>
        <w:adjustRightInd w:val="0"/>
        <w:snapToGrid w:val="0"/>
        <w:spacing w:line="360" w:lineRule="auto"/>
        <w:ind w:firstLineChars="200" w:firstLine="480"/>
        <w:rPr>
          <w:rFonts w:ascii="宋体" w:hAnsi="宋体" w:cs="Arial"/>
          <w:bCs/>
          <w:sz w:val="24"/>
        </w:rPr>
      </w:pPr>
      <w:r w:rsidRPr="00B51019">
        <w:rPr>
          <w:rFonts w:ascii="宋体" w:hAnsi="宋体" w:cs="Arial" w:hint="eastAsia"/>
          <w:bCs/>
          <w:sz w:val="24"/>
        </w:rPr>
        <w:t>本基金在投资香港市场时，可通过合格境内机构投资者(QDII)境外投资额度或内地与香港股票市场交易互联互通机制进行投资。</w:t>
      </w:r>
    </w:p>
    <w:p w14:paraId="4C8FE257" w14:textId="77777777" w:rsidR="00B51019" w:rsidRPr="00B51019" w:rsidRDefault="00B51019" w:rsidP="00B51019">
      <w:pPr>
        <w:adjustRightInd w:val="0"/>
        <w:snapToGrid w:val="0"/>
        <w:spacing w:line="360" w:lineRule="auto"/>
        <w:ind w:firstLineChars="200" w:firstLine="480"/>
        <w:rPr>
          <w:rFonts w:ascii="宋体" w:hAnsi="宋体" w:cs="Arial"/>
          <w:bCs/>
          <w:sz w:val="24"/>
        </w:rPr>
      </w:pPr>
      <w:r w:rsidRPr="00B51019">
        <w:rPr>
          <w:rFonts w:ascii="宋体" w:hAnsi="宋体" w:cs="Arial" w:hint="eastAsia"/>
          <w:bCs/>
          <w:sz w:val="24"/>
        </w:rPr>
        <w:t>如法律法规或监管机构以后允许基金投资其他品种，基金管理人在履行适当程序后，可以将其纳入本基金的投资范围，其投资比例遵循届时有效的法律法规和相关规定。</w:t>
      </w:r>
    </w:p>
    <w:p w14:paraId="46EAF474" w14:textId="77777777" w:rsidR="00B51019" w:rsidRPr="00B51019" w:rsidRDefault="00B51019" w:rsidP="00B51019">
      <w:pPr>
        <w:adjustRightInd w:val="0"/>
        <w:snapToGrid w:val="0"/>
        <w:spacing w:line="360" w:lineRule="auto"/>
        <w:ind w:firstLineChars="200" w:firstLine="480"/>
        <w:rPr>
          <w:rFonts w:ascii="宋体" w:hAnsi="宋体" w:cs="Arial"/>
          <w:bCs/>
          <w:sz w:val="24"/>
        </w:rPr>
      </w:pPr>
      <w:r w:rsidRPr="00B51019">
        <w:rPr>
          <w:rFonts w:ascii="宋体" w:hAnsi="宋体" w:cs="Arial" w:hint="eastAsia"/>
          <w:bCs/>
          <w:sz w:val="24"/>
        </w:rPr>
        <w:t>本基金的投资组合比例为：股票资产（含普通股、优先股、存托凭证等）占基金资产的比例为60%-95%（投资于港股通标的股票资产占股票资产的比例不超过50%，港股通以外的香港市场挂牌交易的股票占股票资产的比例不超过20%）；投资于本基金界定的医疗创新主题股票的比例不低于非现金基金资产的80%。每个交易日日终在扣除股指期货合约、国债期货合约和股票期权合约需缴纳的交易保证金后，应保持不低于基金资产净值5%的现金或者到期日在一年以内的政府债券，其中，现金不包括结算备付金、存出保证金和应收申购款等。</w:t>
      </w:r>
    </w:p>
    <w:p w14:paraId="3EB0DF9B" w14:textId="77777777" w:rsidR="00B51019" w:rsidRPr="00B51019" w:rsidRDefault="00B51019" w:rsidP="00B51019">
      <w:pPr>
        <w:adjustRightInd w:val="0"/>
        <w:snapToGrid w:val="0"/>
        <w:spacing w:line="360" w:lineRule="auto"/>
        <w:ind w:firstLineChars="200" w:firstLine="480"/>
        <w:rPr>
          <w:rFonts w:ascii="宋体" w:hAnsi="宋体" w:cs="Arial"/>
          <w:bCs/>
          <w:sz w:val="24"/>
        </w:rPr>
      </w:pPr>
      <w:r w:rsidRPr="00B51019">
        <w:rPr>
          <w:rFonts w:ascii="宋体" w:hAnsi="宋体" w:cs="Arial" w:hint="eastAsia"/>
          <w:bCs/>
          <w:sz w:val="24"/>
        </w:rPr>
        <w:t>本基金将港股投资的比例下限设为零，本基金可根据投资策略需要或不同配置地市场环境的变化，选择将部分基金资产投资于港股或选择不将基金资产投资于港股，基金资产并非必然投资港股。</w:t>
      </w:r>
    </w:p>
    <w:p w14:paraId="374397EA" w14:textId="1A7B08FA" w:rsidR="00E3116F" w:rsidRDefault="00B51019">
      <w:pPr>
        <w:adjustRightInd w:val="0"/>
        <w:snapToGrid w:val="0"/>
        <w:spacing w:line="360" w:lineRule="auto"/>
        <w:ind w:firstLineChars="200" w:firstLine="480"/>
        <w:rPr>
          <w:rFonts w:ascii="宋体" w:hAnsi="宋体" w:cs="Arial"/>
          <w:bCs/>
          <w:sz w:val="24"/>
        </w:rPr>
      </w:pPr>
      <w:r w:rsidRPr="00B51019">
        <w:rPr>
          <w:rFonts w:ascii="宋体" w:hAnsi="宋体" w:cs="Arial" w:hint="eastAsia"/>
          <w:bCs/>
          <w:sz w:val="24"/>
        </w:rPr>
        <w:t>如果法律法规或中国证监会变更相关投资品种的投资比例限制，基金管理人在履行适当程序后，可以调整上述投资品种的投资比例或按变更后的规定执行。</w:t>
      </w:r>
    </w:p>
    <w:p w14:paraId="1C84BFE3"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（二）基金托管人根据有关法律法规的规定及《基金合同》的约定，对基金投资、融资比例进行监督。基金托管人按下述比例和调整期限进行监督：</w:t>
      </w:r>
    </w:p>
    <w:p w14:paraId="14F7C3D5" w14:textId="77777777" w:rsidR="00270C6B" w:rsidRPr="00270C6B" w:rsidRDefault="00270C6B" w:rsidP="00270C6B">
      <w:pPr>
        <w:adjustRightInd w:val="0"/>
        <w:snapToGrid w:val="0"/>
        <w:spacing w:line="360" w:lineRule="auto"/>
        <w:ind w:firstLineChars="200" w:firstLine="480"/>
        <w:rPr>
          <w:rFonts w:ascii="宋体" w:hAnsi="宋体"/>
          <w:bCs/>
          <w:sz w:val="24"/>
          <w:szCs w:val="24"/>
        </w:rPr>
      </w:pPr>
      <w:r w:rsidRPr="00270C6B">
        <w:rPr>
          <w:rFonts w:ascii="宋体" w:hAnsi="宋体" w:hint="eastAsia"/>
          <w:bCs/>
          <w:sz w:val="24"/>
          <w:szCs w:val="24"/>
        </w:rPr>
        <w:t>（1）股票资产（含普通股、优先股、存托凭证等）占基金资产的比例为60%–95%（投资于港股通标的股票资产占股票资产的比例不超过50%，港股通以外的香港市场挂牌交易的股票占股票资产的比例不超过20%）；投资于本基金界定的医疗创新主题股票的比例不低于非现金基金资产的80%。</w:t>
      </w:r>
    </w:p>
    <w:p w14:paraId="00209242" w14:textId="77777777" w:rsidR="00270C6B" w:rsidRPr="00270C6B" w:rsidRDefault="00270C6B" w:rsidP="00270C6B">
      <w:pPr>
        <w:adjustRightInd w:val="0"/>
        <w:snapToGrid w:val="0"/>
        <w:spacing w:line="360" w:lineRule="auto"/>
        <w:ind w:firstLineChars="200" w:firstLine="480"/>
        <w:rPr>
          <w:rFonts w:ascii="宋体" w:hAnsi="宋体"/>
          <w:bCs/>
          <w:sz w:val="24"/>
          <w:szCs w:val="24"/>
        </w:rPr>
      </w:pPr>
      <w:r w:rsidRPr="00270C6B">
        <w:rPr>
          <w:rFonts w:ascii="宋体" w:hAnsi="宋体" w:hint="eastAsia"/>
          <w:bCs/>
          <w:sz w:val="24"/>
          <w:szCs w:val="24"/>
        </w:rPr>
        <w:t>（2）每个交易日日终，在扣除股指期货合约、国债期货合约和股票期权合约需缴纳的交易保证金后，应当保持不低于基金资产净值5%的现金或者到期日在一年以内的政府债券，其中，现金不包括结算备付金、存出保证金和应收申购款等；</w:t>
      </w:r>
    </w:p>
    <w:p w14:paraId="7C979336" w14:textId="77777777" w:rsidR="00270C6B" w:rsidRPr="00270C6B" w:rsidRDefault="00270C6B" w:rsidP="00270C6B">
      <w:pPr>
        <w:adjustRightInd w:val="0"/>
        <w:snapToGrid w:val="0"/>
        <w:spacing w:line="360" w:lineRule="auto"/>
        <w:ind w:firstLineChars="200" w:firstLine="480"/>
        <w:rPr>
          <w:rFonts w:ascii="宋体" w:hAnsi="宋体"/>
          <w:bCs/>
          <w:sz w:val="24"/>
          <w:szCs w:val="24"/>
        </w:rPr>
      </w:pPr>
      <w:r w:rsidRPr="00270C6B">
        <w:rPr>
          <w:rFonts w:ascii="宋体" w:hAnsi="宋体" w:hint="eastAsia"/>
          <w:bCs/>
          <w:sz w:val="24"/>
          <w:szCs w:val="24"/>
        </w:rPr>
        <w:t>（3）本基金总资产不得超过基金净资产的140%；</w:t>
      </w:r>
    </w:p>
    <w:p w14:paraId="5DF78962" w14:textId="77777777" w:rsidR="00270C6B" w:rsidRPr="00270C6B" w:rsidRDefault="00270C6B" w:rsidP="00270C6B">
      <w:pPr>
        <w:adjustRightInd w:val="0"/>
        <w:snapToGrid w:val="0"/>
        <w:spacing w:line="360" w:lineRule="auto"/>
        <w:ind w:firstLineChars="200" w:firstLine="480"/>
        <w:rPr>
          <w:rFonts w:ascii="宋体" w:hAnsi="宋体"/>
          <w:bCs/>
          <w:sz w:val="24"/>
          <w:szCs w:val="24"/>
        </w:rPr>
      </w:pPr>
      <w:r w:rsidRPr="00270C6B">
        <w:rPr>
          <w:rFonts w:ascii="宋体" w:hAnsi="宋体" w:hint="eastAsia"/>
          <w:bCs/>
          <w:sz w:val="24"/>
          <w:szCs w:val="24"/>
        </w:rPr>
        <w:lastRenderedPageBreak/>
        <w:t>（4）本基金境内市场投资，还应遵循以下限制：</w:t>
      </w:r>
    </w:p>
    <w:p w14:paraId="7C5E6C1C" w14:textId="77777777" w:rsidR="00270C6B" w:rsidRPr="00270C6B" w:rsidRDefault="00270C6B" w:rsidP="00270C6B">
      <w:pPr>
        <w:adjustRightInd w:val="0"/>
        <w:snapToGrid w:val="0"/>
        <w:spacing w:line="360" w:lineRule="auto"/>
        <w:ind w:firstLineChars="200" w:firstLine="480"/>
        <w:rPr>
          <w:rFonts w:ascii="宋体" w:hAnsi="宋体"/>
          <w:bCs/>
          <w:sz w:val="24"/>
          <w:szCs w:val="24"/>
        </w:rPr>
      </w:pPr>
      <w:r w:rsidRPr="00270C6B">
        <w:rPr>
          <w:rFonts w:ascii="宋体" w:hAnsi="宋体" w:hint="eastAsia"/>
          <w:bCs/>
          <w:sz w:val="24"/>
          <w:szCs w:val="24"/>
        </w:rPr>
        <w:t>1）本基金持有一家公司发行的证券（同一家公司在内地和香港同时上市的A+H股合计计算），其市值不超过基金资产净值的10%；</w:t>
      </w:r>
    </w:p>
    <w:p w14:paraId="4D666382" w14:textId="357D8ECF" w:rsidR="00270C6B" w:rsidRPr="001650CF" w:rsidRDefault="00270C6B" w:rsidP="001650CF">
      <w:pPr>
        <w:adjustRightInd w:val="0"/>
        <w:snapToGrid w:val="0"/>
        <w:spacing w:line="360" w:lineRule="auto"/>
        <w:ind w:firstLineChars="200" w:firstLine="480"/>
        <w:rPr>
          <w:rFonts w:ascii="宋体" w:hAnsi="宋体"/>
          <w:bCs/>
          <w:sz w:val="24"/>
          <w:szCs w:val="24"/>
        </w:rPr>
      </w:pPr>
      <w:r w:rsidRPr="00270C6B">
        <w:rPr>
          <w:rFonts w:ascii="宋体" w:hAnsi="宋体" w:hint="eastAsia"/>
          <w:bCs/>
          <w:sz w:val="24"/>
          <w:szCs w:val="24"/>
        </w:rPr>
        <w:t>2）本基金管理人管理的</w:t>
      </w:r>
      <w:r w:rsidR="001650CF" w:rsidRPr="00C814CF">
        <w:rPr>
          <w:rFonts w:hint="eastAsia"/>
          <w:sz w:val="24"/>
        </w:rPr>
        <w:t>且由本基金托管人托管的</w:t>
      </w:r>
      <w:r w:rsidRPr="00270C6B">
        <w:rPr>
          <w:rFonts w:ascii="宋体" w:hAnsi="宋体" w:hint="eastAsia"/>
          <w:bCs/>
          <w:sz w:val="24"/>
          <w:szCs w:val="24"/>
        </w:rPr>
        <w:t>全部基金持有一家公司发行的证券（同一家公司在内地和香港同时上市的A+H股合计计算），不超过该证券的10%，完全按照有关指数的构成比例进行证券投资的基金品种可以不受此条款规定的比例限制；</w:t>
      </w:r>
    </w:p>
    <w:p w14:paraId="6C045D72" w14:textId="77777777" w:rsidR="00270C6B" w:rsidRPr="00270C6B" w:rsidRDefault="00270C6B" w:rsidP="00270C6B">
      <w:pPr>
        <w:adjustRightInd w:val="0"/>
        <w:snapToGrid w:val="0"/>
        <w:spacing w:line="360" w:lineRule="auto"/>
        <w:ind w:firstLineChars="200" w:firstLine="480"/>
        <w:rPr>
          <w:rFonts w:ascii="宋体" w:hAnsi="宋体"/>
          <w:bCs/>
          <w:sz w:val="24"/>
          <w:szCs w:val="24"/>
        </w:rPr>
      </w:pPr>
      <w:r w:rsidRPr="00270C6B">
        <w:rPr>
          <w:rFonts w:ascii="宋体" w:hAnsi="宋体" w:hint="eastAsia"/>
          <w:bCs/>
          <w:sz w:val="24"/>
          <w:szCs w:val="24"/>
        </w:rPr>
        <w:t>3）本基金投资于同一原始权益人的各类资产支持证券的比例，不得超过基金资产净值的10%；</w:t>
      </w:r>
    </w:p>
    <w:p w14:paraId="7E81DBD7" w14:textId="77777777" w:rsidR="00270C6B" w:rsidRPr="00270C6B" w:rsidRDefault="00270C6B" w:rsidP="00270C6B">
      <w:pPr>
        <w:adjustRightInd w:val="0"/>
        <w:snapToGrid w:val="0"/>
        <w:spacing w:line="360" w:lineRule="auto"/>
        <w:ind w:firstLineChars="200" w:firstLine="480"/>
        <w:rPr>
          <w:rFonts w:ascii="宋体" w:hAnsi="宋体"/>
          <w:bCs/>
          <w:sz w:val="24"/>
          <w:szCs w:val="24"/>
        </w:rPr>
      </w:pPr>
      <w:r w:rsidRPr="00270C6B">
        <w:rPr>
          <w:rFonts w:ascii="宋体" w:hAnsi="宋体" w:hint="eastAsia"/>
          <w:bCs/>
          <w:sz w:val="24"/>
          <w:szCs w:val="24"/>
        </w:rPr>
        <w:t>4）本基金持有的全部资产支持证券，其市值不得超过基金资产净值的20%，中国证监会规定的特殊品种除外；</w:t>
      </w:r>
    </w:p>
    <w:p w14:paraId="56DBCA01" w14:textId="77777777" w:rsidR="00270C6B" w:rsidRPr="00270C6B" w:rsidRDefault="00270C6B" w:rsidP="00270C6B">
      <w:pPr>
        <w:adjustRightInd w:val="0"/>
        <w:snapToGrid w:val="0"/>
        <w:spacing w:line="360" w:lineRule="auto"/>
        <w:ind w:firstLineChars="200" w:firstLine="480"/>
        <w:rPr>
          <w:rFonts w:ascii="宋体" w:hAnsi="宋体"/>
          <w:bCs/>
          <w:sz w:val="24"/>
          <w:szCs w:val="24"/>
        </w:rPr>
      </w:pPr>
      <w:r w:rsidRPr="00270C6B">
        <w:rPr>
          <w:rFonts w:ascii="宋体" w:hAnsi="宋体" w:hint="eastAsia"/>
          <w:bCs/>
          <w:sz w:val="24"/>
          <w:szCs w:val="24"/>
        </w:rPr>
        <w:t>5）本基金持有的同一（指同一信用级别）资产支持证券的比例，不得超过该资产支持证券规模的10%；</w:t>
      </w:r>
    </w:p>
    <w:p w14:paraId="48E16ECA" w14:textId="2CDC5CC3" w:rsidR="00270C6B" w:rsidRPr="00270C6B" w:rsidRDefault="00270C6B" w:rsidP="00270C6B">
      <w:pPr>
        <w:adjustRightInd w:val="0"/>
        <w:snapToGrid w:val="0"/>
        <w:spacing w:line="360" w:lineRule="auto"/>
        <w:ind w:firstLineChars="200" w:firstLine="480"/>
        <w:rPr>
          <w:rFonts w:ascii="宋体" w:hAnsi="宋体"/>
          <w:bCs/>
          <w:sz w:val="24"/>
          <w:szCs w:val="24"/>
        </w:rPr>
      </w:pPr>
      <w:r w:rsidRPr="00270C6B">
        <w:rPr>
          <w:rFonts w:ascii="宋体" w:hAnsi="宋体" w:hint="eastAsia"/>
          <w:bCs/>
          <w:sz w:val="24"/>
          <w:szCs w:val="24"/>
        </w:rPr>
        <w:t>6）本基金管理人管理的</w:t>
      </w:r>
      <w:r w:rsidR="001650CF" w:rsidRPr="00C814CF">
        <w:rPr>
          <w:rFonts w:hint="eastAsia"/>
          <w:sz w:val="24"/>
        </w:rPr>
        <w:t>且由本基金托管人托管的</w:t>
      </w:r>
      <w:r w:rsidRPr="00270C6B">
        <w:rPr>
          <w:rFonts w:ascii="宋体" w:hAnsi="宋体" w:hint="eastAsia"/>
          <w:bCs/>
          <w:sz w:val="24"/>
          <w:szCs w:val="24"/>
        </w:rPr>
        <w:t>全部基金投资于同一原始权益人的各类资产支持证券，不得超过其各类资产支持证券合计规模的10%；</w:t>
      </w:r>
    </w:p>
    <w:p w14:paraId="0B6420D7" w14:textId="77777777" w:rsidR="00270C6B" w:rsidRPr="00270C6B" w:rsidRDefault="00270C6B" w:rsidP="00270C6B">
      <w:pPr>
        <w:adjustRightInd w:val="0"/>
        <w:snapToGrid w:val="0"/>
        <w:spacing w:line="360" w:lineRule="auto"/>
        <w:ind w:firstLineChars="200" w:firstLine="480"/>
        <w:rPr>
          <w:rFonts w:ascii="宋体" w:hAnsi="宋体"/>
          <w:bCs/>
          <w:sz w:val="24"/>
          <w:szCs w:val="24"/>
        </w:rPr>
      </w:pPr>
      <w:r w:rsidRPr="00270C6B">
        <w:rPr>
          <w:rFonts w:ascii="宋体" w:hAnsi="宋体" w:hint="eastAsia"/>
          <w:bCs/>
          <w:sz w:val="24"/>
          <w:szCs w:val="24"/>
        </w:rPr>
        <w:t>7）本基金应投资于信用级别评级为BBB以上（含BBB）的资产支持证券。基金持有资产支持证券期间，如果其信用等级下降、不再符合投资标准，应在评级报告发布之日起3个月内予以全部卖出；</w:t>
      </w:r>
    </w:p>
    <w:p w14:paraId="1B4C8956" w14:textId="77777777" w:rsidR="00270C6B" w:rsidRPr="00270C6B" w:rsidRDefault="00270C6B" w:rsidP="00270C6B">
      <w:pPr>
        <w:adjustRightInd w:val="0"/>
        <w:snapToGrid w:val="0"/>
        <w:spacing w:line="360" w:lineRule="auto"/>
        <w:ind w:firstLineChars="200" w:firstLine="480"/>
        <w:rPr>
          <w:rFonts w:ascii="宋体" w:hAnsi="宋体"/>
          <w:bCs/>
          <w:sz w:val="24"/>
          <w:szCs w:val="24"/>
        </w:rPr>
      </w:pPr>
      <w:r w:rsidRPr="00270C6B">
        <w:rPr>
          <w:rFonts w:ascii="宋体" w:hAnsi="宋体" w:hint="eastAsia"/>
          <w:bCs/>
          <w:sz w:val="24"/>
          <w:szCs w:val="24"/>
        </w:rPr>
        <w:t>8）基金财产参与股票发行申购，本基金所申报的金额不超过本基金的总资产，本基金所申报的股票数量不超过拟发行股票公司本次发行股票的总量；</w:t>
      </w:r>
    </w:p>
    <w:p w14:paraId="623D68AE" w14:textId="77777777" w:rsidR="00270C6B" w:rsidRPr="00270C6B" w:rsidRDefault="00270C6B" w:rsidP="00270C6B">
      <w:pPr>
        <w:adjustRightInd w:val="0"/>
        <w:snapToGrid w:val="0"/>
        <w:spacing w:line="360" w:lineRule="auto"/>
        <w:ind w:firstLineChars="200" w:firstLine="480"/>
        <w:rPr>
          <w:rFonts w:ascii="宋体" w:hAnsi="宋体"/>
          <w:bCs/>
          <w:sz w:val="24"/>
          <w:szCs w:val="24"/>
        </w:rPr>
      </w:pPr>
      <w:r w:rsidRPr="00270C6B">
        <w:rPr>
          <w:rFonts w:ascii="宋体" w:hAnsi="宋体" w:hint="eastAsia"/>
          <w:bCs/>
          <w:sz w:val="24"/>
          <w:szCs w:val="24"/>
        </w:rPr>
        <w:t>9）本基金参与股指期货交易的，需遵守下列投资比例限制：</w:t>
      </w:r>
    </w:p>
    <w:p w14:paraId="68E5BD24" w14:textId="77777777" w:rsidR="00270C6B" w:rsidRPr="00270C6B" w:rsidRDefault="00270C6B" w:rsidP="00270C6B">
      <w:pPr>
        <w:adjustRightInd w:val="0"/>
        <w:snapToGrid w:val="0"/>
        <w:spacing w:line="360" w:lineRule="auto"/>
        <w:ind w:firstLineChars="200" w:firstLine="480"/>
        <w:rPr>
          <w:rFonts w:ascii="宋体" w:hAnsi="宋体"/>
          <w:bCs/>
          <w:sz w:val="24"/>
          <w:szCs w:val="24"/>
        </w:rPr>
      </w:pPr>
      <w:r w:rsidRPr="00270C6B">
        <w:rPr>
          <w:rFonts w:ascii="宋体" w:hAnsi="宋体" w:hint="eastAsia"/>
          <w:bCs/>
          <w:sz w:val="24"/>
          <w:szCs w:val="24"/>
        </w:rPr>
        <w:t>①本基金在任何交易日日终，持有的买入股指期货合约价值，不得超过基金资产净值的10%；</w:t>
      </w:r>
    </w:p>
    <w:p w14:paraId="5095F76D" w14:textId="77777777" w:rsidR="00270C6B" w:rsidRPr="00270C6B" w:rsidRDefault="00270C6B" w:rsidP="00270C6B">
      <w:pPr>
        <w:adjustRightInd w:val="0"/>
        <w:snapToGrid w:val="0"/>
        <w:spacing w:line="360" w:lineRule="auto"/>
        <w:ind w:firstLineChars="200" w:firstLine="480"/>
        <w:rPr>
          <w:rFonts w:ascii="宋体" w:hAnsi="宋体"/>
          <w:bCs/>
          <w:sz w:val="24"/>
          <w:szCs w:val="24"/>
        </w:rPr>
      </w:pPr>
      <w:r w:rsidRPr="00270C6B">
        <w:rPr>
          <w:rFonts w:ascii="宋体" w:hAnsi="宋体" w:hint="eastAsia"/>
          <w:bCs/>
          <w:sz w:val="24"/>
          <w:szCs w:val="24"/>
        </w:rPr>
        <w:t>②本基金在任何交易日日终，持有的卖出股指期货合约价值不得超过本基金持有的股票总市值的20%；</w:t>
      </w:r>
    </w:p>
    <w:p w14:paraId="2441F946" w14:textId="77777777" w:rsidR="00270C6B" w:rsidRPr="00270C6B" w:rsidRDefault="00270C6B" w:rsidP="00270C6B">
      <w:pPr>
        <w:adjustRightInd w:val="0"/>
        <w:snapToGrid w:val="0"/>
        <w:spacing w:line="360" w:lineRule="auto"/>
        <w:ind w:firstLineChars="200" w:firstLine="480"/>
        <w:rPr>
          <w:rFonts w:ascii="宋体" w:hAnsi="宋体"/>
          <w:bCs/>
          <w:sz w:val="24"/>
          <w:szCs w:val="24"/>
        </w:rPr>
      </w:pPr>
      <w:r w:rsidRPr="00270C6B">
        <w:rPr>
          <w:rFonts w:ascii="宋体" w:hAnsi="宋体" w:hint="eastAsia"/>
          <w:bCs/>
          <w:sz w:val="24"/>
          <w:szCs w:val="24"/>
        </w:rPr>
        <w:t>③本基金所持有的股票市值和买入、卖出股指期货合约价值，合计（轧差计算）应当符合基金合同关于股票投资比例的有关约定；</w:t>
      </w:r>
    </w:p>
    <w:p w14:paraId="1204C2C2" w14:textId="77777777" w:rsidR="00270C6B" w:rsidRPr="00270C6B" w:rsidRDefault="00270C6B" w:rsidP="00270C6B">
      <w:pPr>
        <w:adjustRightInd w:val="0"/>
        <w:snapToGrid w:val="0"/>
        <w:spacing w:line="360" w:lineRule="auto"/>
        <w:ind w:firstLineChars="200" w:firstLine="480"/>
        <w:rPr>
          <w:rFonts w:ascii="宋体" w:hAnsi="宋体"/>
          <w:bCs/>
          <w:sz w:val="24"/>
          <w:szCs w:val="24"/>
        </w:rPr>
      </w:pPr>
      <w:r w:rsidRPr="00270C6B">
        <w:rPr>
          <w:rFonts w:ascii="宋体" w:hAnsi="宋体" w:hint="eastAsia"/>
          <w:bCs/>
          <w:sz w:val="24"/>
          <w:szCs w:val="24"/>
        </w:rPr>
        <w:t>④本基金在任何交易日内交易（不包括平仓）的股指期货合约的成交金额不得超过上一交易日基金资产净值的20%；</w:t>
      </w:r>
    </w:p>
    <w:p w14:paraId="5BB03529" w14:textId="77777777" w:rsidR="00270C6B" w:rsidRPr="00270C6B" w:rsidRDefault="00270C6B" w:rsidP="00270C6B">
      <w:pPr>
        <w:adjustRightInd w:val="0"/>
        <w:snapToGrid w:val="0"/>
        <w:spacing w:line="360" w:lineRule="auto"/>
        <w:ind w:firstLineChars="200" w:firstLine="480"/>
        <w:rPr>
          <w:rFonts w:ascii="宋体" w:hAnsi="宋体"/>
          <w:bCs/>
          <w:sz w:val="24"/>
          <w:szCs w:val="24"/>
        </w:rPr>
      </w:pPr>
      <w:r w:rsidRPr="00270C6B">
        <w:rPr>
          <w:rFonts w:ascii="宋体" w:hAnsi="宋体" w:hint="eastAsia"/>
          <w:bCs/>
          <w:sz w:val="24"/>
          <w:szCs w:val="24"/>
        </w:rPr>
        <w:t>10）本基金参与国债期货交易的，需遵守下列投资比例限制：</w:t>
      </w:r>
    </w:p>
    <w:p w14:paraId="11F457F0" w14:textId="77777777" w:rsidR="00270C6B" w:rsidRPr="00270C6B" w:rsidRDefault="00270C6B" w:rsidP="00270C6B">
      <w:pPr>
        <w:adjustRightInd w:val="0"/>
        <w:snapToGrid w:val="0"/>
        <w:spacing w:line="360" w:lineRule="auto"/>
        <w:ind w:firstLineChars="200" w:firstLine="480"/>
        <w:rPr>
          <w:rFonts w:ascii="宋体" w:hAnsi="宋体"/>
          <w:bCs/>
          <w:sz w:val="24"/>
          <w:szCs w:val="24"/>
        </w:rPr>
      </w:pPr>
      <w:r w:rsidRPr="00270C6B">
        <w:rPr>
          <w:rFonts w:ascii="宋体" w:hAnsi="宋体" w:hint="eastAsia"/>
          <w:bCs/>
          <w:sz w:val="24"/>
          <w:szCs w:val="24"/>
        </w:rPr>
        <w:lastRenderedPageBreak/>
        <w:t>①本基金在任何交易日日终，持有的买入国债期货合约价值，不得超过基金资产净值的15%；</w:t>
      </w:r>
    </w:p>
    <w:p w14:paraId="65DE5732" w14:textId="77777777" w:rsidR="00270C6B" w:rsidRPr="00270C6B" w:rsidRDefault="00270C6B" w:rsidP="00270C6B">
      <w:pPr>
        <w:adjustRightInd w:val="0"/>
        <w:snapToGrid w:val="0"/>
        <w:spacing w:line="360" w:lineRule="auto"/>
        <w:ind w:firstLineChars="200" w:firstLine="480"/>
        <w:rPr>
          <w:rFonts w:ascii="宋体" w:hAnsi="宋体"/>
          <w:bCs/>
          <w:sz w:val="24"/>
          <w:szCs w:val="24"/>
        </w:rPr>
      </w:pPr>
      <w:r w:rsidRPr="00270C6B">
        <w:rPr>
          <w:rFonts w:ascii="宋体" w:hAnsi="宋体" w:hint="eastAsia"/>
          <w:bCs/>
          <w:sz w:val="24"/>
          <w:szCs w:val="24"/>
        </w:rPr>
        <w:t>②本基金在任何交易日日终，持有的卖出国债期货合约价值不得超过基金持有的债券总市值的30%；</w:t>
      </w:r>
    </w:p>
    <w:p w14:paraId="1DC3FE2B" w14:textId="77777777" w:rsidR="00270C6B" w:rsidRPr="00270C6B" w:rsidRDefault="00270C6B" w:rsidP="00270C6B">
      <w:pPr>
        <w:adjustRightInd w:val="0"/>
        <w:snapToGrid w:val="0"/>
        <w:spacing w:line="360" w:lineRule="auto"/>
        <w:ind w:firstLineChars="200" w:firstLine="480"/>
        <w:rPr>
          <w:rFonts w:ascii="宋体" w:hAnsi="宋体"/>
          <w:bCs/>
          <w:sz w:val="24"/>
          <w:szCs w:val="24"/>
        </w:rPr>
      </w:pPr>
      <w:r w:rsidRPr="00270C6B">
        <w:rPr>
          <w:rFonts w:ascii="宋体" w:hAnsi="宋体" w:hint="eastAsia"/>
          <w:bCs/>
          <w:sz w:val="24"/>
          <w:szCs w:val="24"/>
        </w:rPr>
        <w:t>③本基金在任何交易日内交易（不包括平仓）的国债期货合约的成交金额不得超过上一交易日基金资产净值的30%；</w:t>
      </w:r>
    </w:p>
    <w:p w14:paraId="02FA8BC5" w14:textId="77777777" w:rsidR="00270C6B" w:rsidRPr="00270C6B" w:rsidRDefault="00270C6B" w:rsidP="00270C6B">
      <w:pPr>
        <w:adjustRightInd w:val="0"/>
        <w:snapToGrid w:val="0"/>
        <w:spacing w:line="360" w:lineRule="auto"/>
        <w:ind w:firstLineChars="200" w:firstLine="480"/>
        <w:rPr>
          <w:rFonts w:ascii="宋体" w:hAnsi="宋体"/>
          <w:bCs/>
          <w:sz w:val="24"/>
          <w:szCs w:val="24"/>
        </w:rPr>
      </w:pPr>
      <w:r w:rsidRPr="00270C6B">
        <w:rPr>
          <w:rFonts w:ascii="宋体" w:hAnsi="宋体" w:hint="eastAsia"/>
          <w:bCs/>
          <w:sz w:val="24"/>
          <w:szCs w:val="24"/>
        </w:rPr>
        <w:t>④本基金所持有的债券（不含到期日在一年以内的政府债券）市值和买入、卖出国债期货合约价值，合计（轧差计算）应当符合基金合同关于债券投资比例的有关约定；</w:t>
      </w:r>
    </w:p>
    <w:p w14:paraId="60D0B75E" w14:textId="77777777" w:rsidR="00270C6B" w:rsidRPr="00270C6B" w:rsidRDefault="00270C6B" w:rsidP="00270C6B">
      <w:pPr>
        <w:adjustRightInd w:val="0"/>
        <w:snapToGrid w:val="0"/>
        <w:spacing w:line="360" w:lineRule="auto"/>
        <w:ind w:firstLineChars="200" w:firstLine="480"/>
        <w:rPr>
          <w:rFonts w:ascii="宋体" w:hAnsi="宋体"/>
          <w:bCs/>
          <w:sz w:val="24"/>
          <w:szCs w:val="24"/>
        </w:rPr>
      </w:pPr>
      <w:r w:rsidRPr="00270C6B">
        <w:rPr>
          <w:rFonts w:ascii="宋体" w:hAnsi="宋体" w:hint="eastAsia"/>
          <w:bCs/>
          <w:sz w:val="24"/>
          <w:szCs w:val="24"/>
        </w:rPr>
        <w:t>11）本基金参与股指期货或国债期货交易的，在任何交易日日终，本基金持有的买入国债期货合约价值、买入股指期货合约价值与有价证券市值之和，不得超过基金资产净值的95%。其中，有价证券指股票、债券（不含到期日在一年以内的政府债券）、资产支持证券、买入返售金融资产（不含质押式回购）等；</w:t>
      </w:r>
    </w:p>
    <w:p w14:paraId="421770D6" w14:textId="77777777" w:rsidR="00270C6B" w:rsidRPr="00270C6B" w:rsidRDefault="00270C6B" w:rsidP="00270C6B">
      <w:pPr>
        <w:adjustRightInd w:val="0"/>
        <w:snapToGrid w:val="0"/>
        <w:spacing w:line="360" w:lineRule="auto"/>
        <w:ind w:firstLineChars="200" w:firstLine="480"/>
        <w:rPr>
          <w:rFonts w:ascii="宋体" w:hAnsi="宋体"/>
          <w:bCs/>
          <w:sz w:val="24"/>
          <w:szCs w:val="24"/>
        </w:rPr>
      </w:pPr>
      <w:r w:rsidRPr="00270C6B">
        <w:rPr>
          <w:rFonts w:ascii="宋体" w:hAnsi="宋体" w:hint="eastAsia"/>
          <w:bCs/>
          <w:sz w:val="24"/>
          <w:szCs w:val="24"/>
        </w:rPr>
        <w:t>12）本基金参与股票期权交易的，需遵守下列投资比例限制：</w:t>
      </w:r>
    </w:p>
    <w:p w14:paraId="18508A80" w14:textId="77777777" w:rsidR="00270C6B" w:rsidRPr="00270C6B" w:rsidRDefault="00270C6B" w:rsidP="00270C6B">
      <w:pPr>
        <w:adjustRightInd w:val="0"/>
        <w:snapToGrid w:val="0"/>
        <w:spacing w:line="360" w:lineRule="auto"/>
        <w:ind w:firstLineChars="200" w:firstLine="480"/>
        <w:rPr>
          <w:rFonts w:ascii="宋体" w:hAnsi="宋体"/>
          <w:bCs/>
          <w:sz w:val="24"/>
          <w:szCs w:val="24"/>
        </w:rPr>
      </w:pPr>
      <w:r w:rsidRPr="00270C6B">
        <w:rPr>
          <w:rFonts w:ascii="宋体" w:hAnsi="宋体" w:hint="eastAsia"/>
          <w:bCs/>
          <w:sz w:val="24"/>
          <w:szCs w:val="24"/>
        </w:rPr>
        <w:t>①因未平仓的期权合约支付和收取的权利金总额不得超过基金资产净值的10%；</w:t>
      </w:r>
    </w:p>
    <w:p w14:paraId="64DE1249" w14:textId="77777777" w:rsidR="00270C6B" w:rsidRPr="00270C6B" w:rsidRDefault="00270C6B" w:rsidP="00270C6B">
      <w:pPr>
        <w:adjustRightInd w:val="0"/>
        <w:snapToGrid w:val="0"/>
        <w:spacing w:line="360" w:lineRule="auto"/>
        <w:ind w:firstLineChars="200" w:firstLine="480"/>
        <w:rPr>
          <w:rFonts w:ascii="宋体" w:hAnsi="宋体"/>
          <w:bCs/>
          <w:sz w:val="24"/>
          <w:szCs w:val="24"/>
        </w:rPr>
      </w:pPr>
      <w:r w:rsidRPr="00270C6B">
        <w:rPr>
          <w:rFonts w:ascii="宋体" w:hAnsi="宋体" w:hint="eastAsia"/>
          <w:bCs/>
          <w:sz w:val="24"/>
          <w:szCs w:val="24"/>
        </w:rPr>
        <w:t>②开仓卖出认购期权的，应持有足额标的证券；开仓卖出认沽期权的，应持有合约行权所需的全额现金或交易所规则认可的可冲抵期权保证金的现金等价物；</w:t>
      </w:r>
    </w:p>
    <w:p w14:paraId="367066CB" w14:textId="77777777" w:rsidR="00270C6B" w:rsidRPr="00270C6B" w:rsidRDefault="00270C6B" w:rsidP="00270C6B">
      <w:pPr>
        <w:adjustRightInd w:val="0"/>
        <w:snapToGrid w:val="0"/>
        <w:spacing w:line="360" w:lineRule="auto"/>
        <w:ind w:firstLineChars="200" w:firstLine="480"/>
        <w:rPr>
          <w:rFonts w:ascii="宋体" w:hAnsi="宋体"/>
          <w:bCs/>
          <w:sz w:val="24"/>
          <w:szCs w:val="24"/>
        </w:rPr>
      </w:pPr>
      <w:r w:rsidRPr="00270C6B">
        <w:rPr>
          <w:rFonts w:ascii="宋体" w:hAnsi="宋体" w:hint="eastAsia"/>
          <w:bCs/>
          <w:sz w:val="24"/>
          <w:szCs w:val="24"/>
        </w:rPr>
        <w:t>③未平仓的期权合约面值不得超过基金资产净值的20%。其中，合约面值按照行权价乘以合约乘数计算；</w:t>
      </w:r>
    </w:p>
    <w:p w14:paraId="11243F48" w14:textId="77777777" w:rsidR="00270C6B" w:rsidRPr="00270C6B" w:rsidRDefault="00270C6B" w:rsidP="00270C6B">
      <w:pPr>
        <w:adjustRightInd w:val="0"/>
        <w:snapToGrid w:val="0"/>
        <w:spacing w:line="360" w:lineRule="auto"/>
        <w:ind w:firstLineChars="200" w:firstLine="480"/>
        <w:rPr>
          <w:rFonts w:ascii="宋体" w:hAnsi="宋体"/>
          <w:bCs/>
          <w:sz w:val="24"/>
          <w:szCs w:val="24"/>
        </w:rPr>
      </w:pPr>
      <w:r w:rsidRPr="00270C6B">
        <w:rPr>
          <w:rFonts w:ascii="宋体" w:hAnsi="宋体" w:hint="eastAsia"/>
          <w:bCs/>
          <w:sz w:val="24"/>
          <w:szCs w:val="24"/>
        </w:rPr>
        <w:t>④基金投资期权符合基金合同约定的比例限制（如股票仓位、个股占比等）、投资目标和风险收益特征；</w:t>
      </w:r>
    </w:p>
    <w:p w14:paraId="369C7636" w14:textId="44ACCF27" w:rsidR="00270C6B" w:rsidRPr="00270C6B" w:rsidRDefault="00270C6B" w:rsidP="00270C6B">
      <w:pPr>
        <w:adjustRightInd w:val="0"/>
        <w:snapToGrid w:val="0"/>
        <w:spacing w:line="360" w:lineRule="auto"/>
        <w:ind w:firstLineChars="200" w:firstLine="480"/>
        <w:rPr>
          <w:rFonts w:ascii="宋体" w:hAnsi="宋体"/>
          <w:bCs/>
          <w:sz w:val="24"/>
          <w:szCs w:val="24"/>
        </w:rPr>
      </w:pPr>
      <w:r w:rsidRPr="00270C6B">
        <w:rPr>
          <w:rFonts w:ascii="宋体" w:hAnsi="宋体" w:hint="eastAsia"/>
          <w:bCs/>
          <w:sz w:val="24"/>
          <w:szCs w:val="24"/>
        </w:rPr>
        <w:t>13）本基金管理人管理的</w:t>
      </w:r>
      <w:r w:rsidR="001650CF" w:rsidRPr="00C814CF">
        <w:rPr>
          <w:rFonts w:hint="eastAsia"/>
          <w:sz w:val="24"/>
        </w:rPr>
        <w:t>且由本基金托管人托管的</w:t>
      </w:r>
      <w:r w:rsidRPr="00270C6B">
        <w:rPr>
          <w:rFonts w:ascii="宋体" w:hAnsi="宋体" w:hint="eastAsia"/>
          <w:bCs/>
          <w:sz w:val="24"/>
          <w:szCs w:val="24"/>
        </w:rPr>
        <w:t>全部开放式基金（包括开放式基金以及处于开放期的定期开放基金）持有一家上市公司发行的可流通股票，不得超过该上市公司可流通股票的15%；本基金管理人管理的</w:t>
      </w:r>
      <w:r w:rsidR="001650CF" w:rsidRPr="00C814CF">
        <w:rPr>
          <w:rFonts w:hint="eastAsia"/>
          <w:sz w:val="24"/>
        </w:rPr>
        <w:t>且由本基金托管人托管的</w:t>
      </w:r>
      <w:r w:rsidRPr="00270C6B">
        <w:rPr>
          <w:rFonts w:ascii="宋体" w:hAnsi="宋体" w:hint="eastAsia"/>
          <w:bCs/>
          <w:sz w:val="24"/>
          <w:szCs w:val="24"/>
        </w:rPr>
        <w:t>全部投资组合持有一家上市公司发行的可流通股票，不得超过该上市公司可流通股票的30%；完全按照有关指数的构成比例进行证券投资的开放式基金以及中国证监会认定的特殊投资组合可不受前述比例限制；</w:t>
      </w:r>
    </w:p>
    <w:p w14:paraId="2B6FD347" w14:textId="77777777" w:rsidR="00270C6B" w:rsidRPr="00270C6B" w:rsidRDefault="00270C6B" w:rsidP="00270C6B">
      <w:pPr>
        <w:adjustRightInd w:val="0"/>
        <w:snapToGrid w:val="0"/>
        <w:spacing w:line="360" w:lineRule="auto"/>
        <w:ind w:firstLineChars="200" w:firstLine="480"/>
        <w:rPr>
          <w:rFonts w:ascii="宋体" w:hAnsi="宋体"/>
          <w:bCs/>
          <w:sz w:val="24"/>
          <w:szCs w:val="24"/>
        </w:rPr>
      </w:pPr>
      <w:r w:rsidRPr="00270C6B">
        <w:rPr>
          <w:rFonts w:ascii="宋体" w:hAnsi="宋体" w:hint="eastAsia"/>
          <w:bCs/>
          <w:sz w:val="24"/>
          <w:szCs w:val="24"/>
        </w:rPr>
        <w:t>14）本基金主动投资于流动性受限资产的市值合计不得超过基金资产净值的15%；因证券市场波动、上市公司股票停牌、基金规模变动等基金管理人之外的因</w:t>
      </w:r>
      <w:r w:rsidRPr="00270C6B">
        <w:rPr>
          <w:rFonts w:ascii="宋体" w:hAnsi="宋体" w:hint="eastAsia"/>
          <w:bCs/>
          <w:sz w:val="24"/>
          <w:szCs w:val="24"/>
        </w:rPr>
        <w:lastRenderedPageBreak/>
        <w:t>素致使基金不符合该比例限制的，基金管理人不得主动新增流动性受限资产的投资；</w:t>
      </w:r>
    </w:p>
    <w:p w14:paraId="0619E92A" w14:textId="77777777" w:rsidR="00270C6B" w:rsidRPr="00270C6B" w:rsidRDefault="00270C6B" w:rsidP="00270C6B">
      <w:pPr>
        <w:adjustRightInd w:val="0"/>
        <w:snapToGrid w:val="0"/>
        <w:spacing w:line="360" w:lineRule="auto"/>
        <w:ind w:firstLineChars="200" w:firstLine="480"/>
        <w:rPr>
          <w:rFonts w:ascii="宋体" w:hAnsi="宋体"/>
          <w:bCs/>
          <w:sz w:val="24"/>
          <w:szCs w:val="24"/>
        </w:rPr>
      </w:pPr>
      <w:r w:rsidRPr="00270C6B">
        <w:rPr>
          <w:rFonts w:ascii="宋体" w:hAnsi="宋体" w:hint="eastAsia"/>
          <w:bCs/>
          <w:sz w:val="24"/>
          <w:szCs w:val="24"/>
        </w:rPr>
        <w:t>16）本基金参与融资的，每个交易日日终，本基金持有的融资买入股票与其他有价证券市值之和，不得超过基金资产净值的95%；</w:t>
      </w:r>
    </w:p>
    <w:p w14:paraId="2B12AB3A" w14:textId="77777777" w:rsidR="00270C6B" w:rsidRPr="00270C6B" w:rsidRDefault="00270C6B" w:rsidP="00270C6B">
      <w:pPr>
        <w:adjustRightInd w:val="0"/>
        <w:snapToGrid w:val="0"/>
        <w:spacing w:line="360" w:lineRule="auto"/>
        <w:ind w:firstLineChars="200" w:firstLine="480"/>
        <w:rPr>
          <w:rFonts w:ascii="宋体" w:hAnsi="宋体"/>
          <w:bCs/>
          <w:sz w:val="24"/>
          <w:szCs w:val="24"/>
        </w:rPr>
      </w:pPr>
      <w:r w:rsidRPr="00270C6B">
        <w:rPr>
          <w:rFonts w:ascii="宋体" w:hAnsi="宋体" w:hint="eastAsia"/>
          <w:bCs/>
          <w:sz w:val="24"/>
          <w:szCs w:val="24"/>
        </w:rPr>
        <w:t>17）本基金投资存托凭证的比例限制依照境内上市交易的股票执行，与境内上市交易的股票合并计算；</w:t>
      </w:r>
    </w:p>
    <w:p w14:paraId="063FA80A" w14:textId="77777777" w:rsidR="00270C6B" w:rsidRPr="00270C6B" w:rsidRDefault="00270C6B" w:rsidP="00270C6B">
      <w:pPr>
        <w:adjustRightInd w:val="0"/>
        <w:snapToGrid w:val="0"/>
        <w:spacing w:line="360" w:lineRule="auto"/>
        <w:ind w:firstLineChars="200" w:firstLine="480"/>
        <w:rPr>
          <w:rFonts w:ascii="宋体" w:hAnsi="宋体"/>
          <w:bCs/>
          <w:sz w:val="24"/>
          <w:szCs w:val="24"/>
        </w:rPr>
      </w:pPr>
      <w:r w:rsidRPr="00270C6B">
        <w:rPr>
          <w:rFonts w:ascii="宋体" w:hAnsi="宋体" w:hint="eastAsia"/>
          <w:bCs/>
          <w:sz w:val="24"/>
          <w:szCs w:val="24"/>
        </w:rPr>
        <w:t>18）法律法规及中国证监会规定的和《基金合同》约定的其他投资限制。</w:t>
      </w:r>
    </w:p>
    <w:p w14:paraId="531E448C" w14:textId="0FBDF916" w:rsidR="00270C6B" w:rsidRPr="00270C6B" w:rsidRDefault="00270C6B" w:rsidP="00270C6B">
      <w:pPr>
        <w:adjustRightInd w:val="0"/>
        <w:snapToGrid w:val="0"/>
        <w:spacing w:line="360" w:lineRule="auto"/>
        <w:ind w:firstLineChars="200" w:firstLine="480"/>
        <w:rPr>
          <w:rFonts w:ascii="宋体" w:hAnsi="宋体"/>
          <w:bCs/>
          <w:sz w:val="24"/>
          <w:szCs w:val="24"/>
        </w:rPr>
      </w:pPr>
      <w:r w:rsidRPr="00270C6B">
        <w:rPr>
          <w:rFonts w:ascii="宋体" w:hAnsi="宋体" w:hint="eastAsia"/>
          <w:bCs/>
          <w:sz w:val="24"/>
          <w:szCs w:val="24"/>
        </w:rPr>
        <w:t>（5）本基金境外市场投资，还应遵循以下限制：</w:t>
      </w:r>
    </w:p>
    <w:p w14:paraId="4B38A28C" w14:textId="77777777" w:rsidR="00270C6B" w:rsidRPr="00270C6B" w:rsidRDefault="00270C6B" w:rsidP="00270C6B">
      <w:pPr>
        <w:adjustRightInd w:val="0"/>
        <w:snapToGrid w:val="0"/>
        <w:spacing w:line="360" w:lineRule="auto"/>
        <w:ind w:firstLineChars="200" w:firstLine="480"/>
        <w:rPr>
          <w:rFonts w:ascii="宋体" w:hAnsi="宋体"/>
          <w:bCs/>
          <w:sz w:val="24"/>
          <w:szCs w:val="24"/>
        </w:rPr>
      </w:pPr>
      <w:r w:rsidRPr="00270C6B">
        <w:rPr>
          <w:rFonts w:ascii="宋体" w:hAnsi="宋体" w:hint="eastAsia"/>
          <w:bCs/>
          <w:sz w:val="24"/>
          <w:szCs w:val="24"/>
        </w:rPr>
        <w:t>1）投资比例限制</w:t>
      </w:r>
    </w:p>
    <w:p w14:paraId="56C0C015" w14:textId="77777777" w:rsidR="00270C6B" w:rsidRPr="00270C6B" w:rsidRDefault="00270C6B" w:rsidP="00270C6B">
      <w:pPr>
        <w:adjustRightInd w:val="0"/>
        <w:snapToGrid w:val="0"/>
        <w:spacing w:line="360" w:lineRule="auto"/>
        <w:ind w:firstLineChars="200" w:firstLine="480"/>
        <w:rPr>
          <w:rFonts w:ascii="宋体" w:hAnsi="宋体"/>
          <w:bCs/>
          <w:sz w:val="24"/>
          <w:szCs w:val="24"/>
        </w:rPr>
      </w:pPr>
      <w:r w:rsidRPr="00270C6B">
        <w:rPr>
          <w:rFonts w:ascii="宋体" w:hAnsi="宋体" w:hint="eastAsia"/>
          <w:bCs/>
          <w:sz w:val="24"/>
          <w:szCs w:val="24"/>
        </w:rPr>
        <w:t>①本基金持有同一机构（政府、国际金融组织除外）发行的证券（同一家公司在境内和境外同时上市的A+H股合计计算）市值不超过基金资产净值的10%；</w:t>
      </w:r>
    </w:p>
    <w:p w14:paraId="3B95BCB2" w14:textId="77777777" w:rsidR="00270C6B" w:rsidRPr="00270C6B" w:rsidRDefault="00270C6B" w:rsidP="00270C6B">
      <w:pPr>
        <w:adjustRightInd w:val="0"/>
        <w:snapToGrid w:val="0"/>
        <w:spacing w:line="360" w:lineRule="auto"/>
        <w:ind w:firstLineChars="200" w:firstLine="480"/>
        <w:rPr>
          <w:rFonts w:ascii="宋体" w:hAnsi="宋体"/>
          <w:bCs/>
          <w:sz w:val="24"/>
          <w:szCs w:val="24"/>
        </w:rPr>
      </w:pPr>
      <w:r w:rsidRPr="00270C6B">
        <w:rPr>
          <w:rFonts w:ascii="宋体" w:hAnsi="宋体" w:hint="eastAsia"/>
          <w:bCs/>
          <w:sz w:val="24"/>
          <w:szCs w:val="24"/>
        </w:rPr>
        <w:t>②本基金持有同一家银行的存款不得超过基金净值的20%。在基金托管账户的存款可以不受上述限制；</w:t>
      </w:r>
    </w:p>
    <w:p w14:paraId="7A74D50C" w14:textId="77777777" w:rsidR="00270C6B" w:rsidRPr="00270C6B" w:rsidRDefault="00270C6B" w:rsidP="00270C6B">
      <w:pPr>
        <w:adjustRightInd w:val="0"/>
        <w:snapToGrid w:val="0"/>
        <w:spacing w:line="360" w:lineRule="auto"/>
        <w:ind w:firstLineChars="200" w:firstLine="480"/>
        <w:rPr>
          <w:rFonts w:ascii="宋体" w:hAnsi="宋体"/>
          <w:bCs/>
          <w:sz w:val="24"/>
          <w:szCs w:val="24"/>
        </w:rPr>
      </w:pPr>
      <w:r w:rsidRPr="00270C6B">
        <w:rPr>
          <w:rFonts w:ascii="宋体" w:hAnsi="宋体" w:hint="eastAsia"/>
          <w:bCs/>
          <w:sz w:val="24"/>
          <w:szCs w:val="24"/>
        </w:rPr>
        <w:t>③本基金不得购买证券用于控制或影响发行该证券的机构或其管理层。基金管理人管理的全部基金不得持有同一机构10%以上具有投票权的证券发行总量；指数基金可以不受上述限制；</w:t>
      </w:r>
    </w:p>
    <w:p w14:paraId="6F1E2C23" w14:textId="77777777" w:rsidR="00270C6B" w:rsidRPr="00270C6B" w:rsidRDefault="00270C6B" w:rsidP="00270C6B">
      <w:pPr>
        <w:adjustRightInd w:val="0"/>
        <w:snapToGrid w:val="0"/>
        <w:spacing w:line="360" w:lineRule="auto"/>
        <w:ind w:firstLineChars="200" w:firstLine="480"/>
        <w:rPr>
          <w:rFonts w:ascii="宋体" w:hAnsi="宋体"/>
          <w:bCs/>
          <w:sz w:val="24"/>
          <w:szCs w:val="24"/>
        </w:rPr>
      </w:pPr>
      <w:r w:rsidRPr="00270C6B">
        <w:rPr>
          <w:rFonts w:ascii="宋体" w:hAnsi="宋体" w:hint="eastAsia"/>
          <w:bCs/>
          <w:sz w:val="24"/>
          <w:szCs w:val="24"/>
        </w:rPr>
        <w:t>前项投资比例限制应当合并计算同一机构境内外上市的总股本，同时应当一并计算全球存托凭证和美国存托凭证所代表的基础证券，并假设对持有的股本权证行使转换；</w:t>
      </w:r>
    </w:p>
    <w:p w14:paraId="73902170" w14:textId="77777777" w:rsidR="00270C6B" w:rsidRPr="00270C6B" w:rsidRDefault="00270C6B" w:rsidP="00270C6B">
      <w:pPr>
        <w:adjustRightInd w:val="0"/>
        <w:snapToGrid w:val="0"/>
        <w:spacing w:line="360" w:lineRule="auto"/>
        <w:ind w:firstLineChars="200" w:firstLine="480"/>
        <w:rPr>
          <w:rFonts w:ascii="宋体" w:hAnsi="宋体"/>
          <w:bCs/>
          <w:sz w:val="24"/>
          <w:szCs w:val="24"/>
        </w:rPr>
      </w:pPr>
      <w:r w:rsidRPr="00270C6B">
        <w:rPr>
          <w:rFonts w:ascii="宋体" w:hAnsi="宋体" w:hint="eastAsia"/>
          <w:bCs/>
          <w:sz w:val="24"/>
          <w:szCs w:val="24"/>
        </w:rPr>
        <w:t>④本基金持有非流动性资产市值不得超过基金净值的10%。其中，非流动性资产是指法律或基金合同规定的流通受限证券以及中国证监会认定的其他资产。</w:t>
      </w:r>
    </w:p>
    <w:p w14:paraId="7B5FC716" w14:textId="77777777" w:rsidR="00270C6B" w:rsidRPr="00270C6B" w:rsidRDefault="00270C6B" w:rsidP="00270C6B">
      <w:pPr>
        <w:adjustRightInd w:val="0"/>
        <w:snapToGrid w:val="0"/>
        <w:spacing w:line="360" w:lineRule="auto"/>
        <w:ind w:firstLineChars="200" w:firstLine="480"/>
        <w:rPr>
          <w:rFonts w:ascii="宋体" w:hAnsi="宋体"/>
          <w:bCs/>
          <w:sz w:val="24"/>
          <w:szCs w:val="24"/>
        </w:rPr>
      </w:pPr>
      <w:r w:rsidRPr="00270C6B">
        <w:rPr>
          <w:rFonts w:ascii="宋体" w:hAnsi="宋体" w:hint="eastAsia"/>
          <w:bCs/>
          <w:sz w:val="24"/>
          <w:szCs w:val="24"/>
        </w:rPr>
        <w:t>2）本基金可以参与证券借贷交易，并且应当遵守下列规定：</w:t>
      </w:r>
    </w:p>
    <w:p w14:paraId="24658B82" w14:textId="77777777" w:rsidR="00270C6B" w:rsidRPr="00270C6B" w:rsidRDefault="00270C6B" w:rsidP="00270C6B">
      <w:pPr>
        <w:adjustRightInd w:val="0"/>
        <w:snapToGrid w:val="0"/>
        <w:spacing w:line="360" w:lineRule="auto"/>
        <w:ind w:firstLineChars="200" w:firstLine="480"/>
        <w:rPr>
          <w:rFonts w:ascii="宋体" w:hAnsi="宋体"/>
          <w:bCs/>
          <w:sz w:val="24"/>
          <w:szCs w:val="24"/>
        </w:rPr>
      </w:pPr>
      <w:r w:rsidRPr="00270C6B">
        <w:rPr>
          <w:rFonts w:ascii="宋体" w:hAnsi="宋体" w:hint="eastAsia"/>
          <w:bCs/>
          <w:sz w:val="24"/>
          <w:szCs w:val="24"/>
        </w:rPr>
        <w:t>①所有参与交易的对手方（中资商业银行除外）应当具有中国证监会认可的信用评级机构评级；</w:t>
      </w:r>
    </w:p>
    <w:p w14:paraId="66A5BF15" w14:textId="77777777" w:rsidR="00270C6B" w:rsidRPr="00270C6B" w:rsidRDefault="00270C6B" w:rsidP="00270C6B">
      <w:pPr>
        <w:adjustRightInd w:val="0"/>
        <w:snapToGrid w:val="0"/>
        <w:spacing w:line="360" w:lineRule="auto"/>
        <w:ind w:firstLineChars="200" w:firstLine="480"/>
        <w:rPr>
          <w:rFonts w:ascii="宋体" w:hAnsi="宋体"/>
          <w:bCs/>
          <w:sz w:val="24"/>
          <w:szCs w:val="24"/>
        </w:rPr>
      </w:pPr>
      <w:r w:rsidRPr="00270C6B">
        <w:rPr>
          <w:rFonts w:ascii="宋体" w:hAnsi="宋体" w:hint="eastAsia"/>
          <w:bCs/>
          <w:sz w:val="24"/>
          <w:szCs w:val="24"/>
        </w:rPr>
        <w:t>②应当采取市值计价制度进行调整以确保担保物市值不低于已借出证券市值的102%;</w:t>
      </w:r>
    </w:p>
    <w:p w14:paraId="7FA0860E" w14:textId="77777777" w:rsidR="00270C6B" w:rsidRPr="00270C6B" w:rsidRDefault="00270C6B" w:rsidP="00270C6B">
      <w:pPr>
        <w:adjustRightInd w:val="0"/>
        <w:snapToGrid w:val="0"/>
        <w:spacing w:line="360" w:lineRule="auto"/>
        <w:ind w:firstLineChars="200" w:firstLine="480"/>
        <w:rPr>
          <w:rFonts w:ascii="宋体" w:hAnsi="宋体"/>
          <w:bCs/>
          <w:sz w:val="24"/>
          <w:szCs w:val="24"/>
        </w:rPr>
      </w:pPr>
      <w:r w:rsidRPr="00270C6B">
        <w:rPr>
          <w:rFonts w:ascii="宋体" w:hAnsi="宋体" w:hint="eastAsia"/>
          <w:bCs/>
          <w:sz w:val="24"/>
          <w:szCs w:val="24"/>
        </w:rPr>
        <w:t>③借方应当在交易期内及时向本基金支付已借出证券产生的所有股息、利息和分红。一旦借方违约，本基金根据协议和有关法律有权保留和处置担保物以满足索赔需要；</w:t>
      </w:r>
    </w:p>
    <w:p w14:paraId="4C43C9D6" w14:textId="77777777" w:rsidR="00270C6B" w:rsidRPr="00270C6B" w:rsidRDefault="00270C6B" w:rsidP="00270C6B">
      <w:pPr>
        <w:adjustRightInd w:val="0"/>
        <w:snapToGrid w:val="0"/>
        <w:spacing w:line="360" w:lineRule="auto"/>
        <w:ind w:firstLineChars="200" w:firstLine="480"/>
        <w:rPr>
          <w:rFonts w:ascii="宋体" w:hAnsi="宋体"/>
          <w:bCs/>
          <w:sz w:val="24"/>
          <w:szCs w:val="24"/>
        </w:rPr>
      </w:pPr>
      <w:r w:rsidRPr="00270C6B">
        <w:rPr>
          <w:rFonts w:ascii="宋体" w:hAnsi="宋体" w:hint="eastAsia"/>
          <w:bCs/>
          <w:sz w:val="24"/>
          <w:szCs w:val="24"/>
        </w:rPr>
        <w:t>④除中国证监会另有规定外，担保物可以是以下金融工具或品种：现金、存款</w:t>
      </w:r>
      <w:r w:rsidRPr="00270C6B">
        <w:rPr>
          <w:rFonts w:ascii="宋体" w:hAnsi="宋体" w:hint="eastAsia"/>
          <w:bCs/>
          <w:sz w:val="24"/>
          <w:szCs w:val="24"/>
        </w:rPr>
        <w:lastRenderedPageBreak/>
        <w:t>证明、商业票据、政府债券、中资商业银行或由不低于中国证监会认可的信用评级机构评级的境外金融机构（作为交易对手方或其关联方的除外）出具的不可撤销信用证；</w:t>
      </w:r>
    </w:p>
    <w:p w14:paraId="5FA2EF3B" w14:textId="77777777" w:rsidR="00270C6B" w:rsidRPr="00270C6B" w:rsidRDefault="00270C6B" w:rsidP="00270C6B">
      <w:pPr>
        <w:adjustRightInd w:val="0"/>
        <w:snapToGrid w:val="0"/>
        <w:spacing w:line="360" w:lineRule="auto"/>
        <w:ind w:firstLineChars="200" w:firstLine="480"/>
        <w:rPr>
          <w:rFonts w:ascii="宋体" w:hAnsi="宋体"/>
          <w:bCs/>
          <w:sz w:val="24"/>
          <w:szCs w:val="24"/>
        </w:rPr>
      </w:pPr>
      <w:r w:rsidRPr="00270C6B">
        <w:rPr>
          <w:rFonts w:ascii="宋体" w:hAnsi="宋体" w:hint="eastAsia"/>
          <w:bCs/>
          <w:sz w:val="24"/>
          <w:szCs w:val="24"/>
        </w:rPr>
        <w:t>⑤本基金有权在任何时候终止证券借贷交易并在正常市场惯例的合理期限内要求归还任一或所有已借出的证券；</w:t>
      </w:r>
    </w:p>
    <w:p w14:paraId="08C09822" w14:textId="77777777" w:rsidR="00270C6B" w:rsidRPr="00270C6B" w:rsidRDefault="00270C6B" w:rsidP="00270C6B">
      <w:pPr>
        <w:adjustRightInd w:val="0"/>
        <w:snapToGrid w:val="0"/>
        <w:spacing w:line="360" w:lineRule="auto"/>
        <w:ind w:firstLineChars="200" w:firstLine="480"/>
        <w:rPr>
          <w:rFonts w:ascii="宋体" w:hAnsi="宋体"/>
          <w:bCs/>
          <w:sz w:val="24"/>
          <w:szCs w:val="24"/>
        </w:rPr>
      </w:pPr>
      <w:r w:rsidRPr="00270C6B">
        <w:rPr>
          <w:rFonts w:ascii="宋体" w:hAnsi="宋体" w:hint="eastAsia"/>
          <w:bCs/>
          <w:sz w:val="24"/>
          <w:szCs w:val="24"/>
        </w:rPr>
        <w:t>⑥基金管理人应当对基金参与证券借贷交易中发生的任何损失负相应责任；</w:t>
      </w:r>
    </w:p>
    <w:p w14:paraId="5F9900D4" w14:textId="77777777" w:rsidR="00270C6B" w:rsidRPr="00270C6B" w:rsidRDefault="00270C6B" w:rsidP="00270C6B">
      <w:pPr>
        <w:adjustRightInd w:val="0"/>
        <w:snapToGrid w:val="0"/>
        <w:spacing w:line="360" w:lineRule="auto"/>
        <w:ind w:firstLineChars="200" w:firstLine="480"/>
        <w:rPr>
          <w:rFonts w:ascii="宋体" w:hAnsi="宋体"/>
          <w:bCs/>
          <w:sz w:val="24"/>
          <w:szCs w:val="24"/>
        </w:rPr>
      </w:pPr>
      <w:r w:rsidRPr="00270C6B">
        <w:rPr>
          <w:rFonts w:ascii="宋体" w:hAnsi="宋体" w:hint="eastAsia"/>
          <w:bCs/>
          <w:sz w:val="24"/>
          <w:szCs w:val="24"/>
        </w:rPr>
        <w:t>3）基金可以根据正常市场惯例参与正回购交易、逆回购交易，并且应当遵守下列规定：</w:t>
      </w:r>
    </w:p>
    <w:p w14:paraId="0BC1B2DD" w14:textId="77777777" w:rsidR="00270C6B" w:rsidRPr="00270C6B" w:rsidRDefault="00270C6B" w:rsidP="00270C6B">
      <w:pPr>
        <w:adjustRightInd w:val="0"/>
        <w:snapToGrid w:val="0"/>
        <w:spacing w:line="360" w:lineRule="auto"/>
        <w:ind w:firstLineChars="200" w:firstLine="480"/>
        <w:rPr>
          <w:rFonts w:ascii="宋体" w:hAnsi="宋体"/>
          <w:bCs/>
          <w:sz w:val="24"/>
          <w:szCs w:val="24"/>
        </w:rPr>
      </w:pPr>
      <w:r w:rsidRPr="00270C6B">
        <w:rPr>
          <w:rFonts w:ascii="宋体" w:hAnsi="宋体" w:hint="eastAsia"/>
          <w:bCs/>
          <w:sz w:val="24"/>
          <w:szCs w:val="24"/>
        </w:rPr>
        <w:t>①所有参与正回购交易的对手方（中资商业银行除外）应当具有中国证监会认可的信用评级机构信用评级；</w:t>
      </w:r>
    </w:p>
    <w:p w14:paraId="20F786B4" w14:textId="77777777" w:rsidR="00270C6B" w:rsidRPr="00270C6B" w:rsidRDefault="00270C6B" w:rsidP="00270C6B">
      <w:pPr>
        <w:adjustRightInd w:val="0"/>
        <w:snapToGrid w:val="0"/>
        <w:spacing w:line="360" w:lineRule="auto"/>
        <w:ind w:firstLineChars="200" w:firstLine="480"/>
        <w:rPr>
          <w:rFonts w:ascii="宋体" w:hAnsi="宋体"/>
          <w:bCs/>
          <w:sz w:val="24"/>
          <w:szCs w:val="24"/>
        </w:rPr>
      </w:pPr>
      <w:r w:rsidRPr="00270C6B">
        <w:rPr>
          <w:rFonts w:ascii="宋体" w:hAnsi="宋体" w:hint="eastAsia"/>
          <w:bCs/>
          <w:sz w:val="24"/>
          <w:szCs w:val="24"/>
        </w:rPr>
        <w:t>②参与正回购交易，应当采取市值计价制度对卖出收益进行调整以确保现金不低于已售出证券市值的102％。一旦买方违约，本基金根据协议和有关法律有权保留或处置卖出收益以满足索赔需要；</w:t>
      </w:r>
    </w:p>
    <w:p w14:paraId="52F766A1" w14:textId="77777777" w:rsidR="00270C6B" w:rsidRPr="00270C6B" w:rsidRDefault="00270C6B" w:rsidP="00270C6B">
      <w:pPr>
        <w:adjustRightInd w:val="0"/>
        <w:snapToGrid w:val="0"/>
        <w:spacing w:line="360" w:lineRule="auto"/>
        <w:ind w:firstLineChars="200" w:firstLine="480"/>
        <w:rPr>
          <w:rFonts w:ascii="宋体" w:hAnsi="宋体"/>
          <w:bCs/>
          <w:sz w:val="24"/>
          <w:szCs w:val="24"/>
        </w:rPr>
      </w:pPr>
      <w:r w:rsidRPr="00270C6B">
        <w:rPr>
          <w:rFonts w:ascii="宋体" w:hAnsi="宋体" w:hint="eastAsia"/>
          <w:bCs/>
          <w:sz w:val="24"/>
          <w:szCs w:val="24"/>
        </w:rPr>
        <w:t>③买方应当在正回购交易期内及时向本基金支付售出证券产生的所有股息、利息和分红；</w:t>
      </w:r>
    </w:p>
    <w:p w14:paraId="78291403" w14:textId="77777777" w:rsidR="00270C6B" w:rsidRPr="00270C6B" w:rsidRDefault="00270C6B" w:rsidP="00270C6B">
      <w:pPr>
        <w:adjustRightInd w:val="0"/>
        <w:snapToGrid w:val="0"/>
        <w:spacing w:line="360" w:lineRule="auto"/>
        <w:ind w:firstLineChars="200" w:firstLine="480"/>
        <w:rPr>
          <w:rFonts w:ascii="宋体" w:hAnsi="宋体"/>
          <w:bCs/>
          <w:sz w:val="24"/>
          <w:szCs w:val="24"/>
        </w:rPr>
      </w:pPr>
      <w:r w:rsidRPr="00270C6B">
        <w:rPr>
          <w:rFonts w:ascii="宋体" w:hAnsi="宋体" w:hint="eastAsia"/>
          <w:bCs/>
          <w:sz w:val="24"/>
          <w:szCs w:val="24"/>
        </w:rPr>
        <w:t>④参与逆回购交易，应当对购入证券采取市值计价制度进行调整以确保已购入证券市值不低于支付现金的102％。一旦卖方违约，本基金根据协议和有关法律有权保留或处置已购入证券以满足索赔需要；</w:t>
      </w:r>
    </w:p>
    <w:p w14:paraId="5AF1BC03" w14:textId="77777777" w:rsidR="00270C6B" w:rsidRPr="00270C6B" w:rsidRDefault="00270C6B" w:rsidP="00270C6B">
      <w:pPr>
        <w:adjustRightInd w:val="0"/>
        <w:snapToGrid w:val="0"/>
        <w:spacing w:line="360" w:lineRule="auto"/>
        <w:ind w:firstLineChars="200" w:firstLine="480"/>
        <w:rPr>
          <w:rFonts w:ascii="宋体" w:hAnsi="宋体"/>
          <w:bCs/>
          <w:sz w:val="24"/>
          <w:szCs w:val="24"/>
        </w:rPr>
      </w:pPr>
      <w:r w:rsidRPr="00270C6B">
        <w:rPr>
          <w:rFonts w:ascii="宋体" w:hAnsi="宋体" w:hint="eastAsia"/>
          <w:bCs/>
          <w:sz w:val="24"/>
          <w:szCs w:val="24"/>
        </w:rPr>
        <w:t>⑤基金管理人应当对基金参与证券正回购交易、逆回购交易中发生的任何损失负相应责任；</w:t>
      </w:r>
    </w:p>
    <w:p w14:paraId="06C6A1ED" w14:textId="77777777" w:rsidR="00270C6B" w:rsidRPr="00270C6B" w:rsidRDefault="00270C6B" w:rsidP="00270C6B">
      <w:pPr>
        <w:adjustRightInd w:val="0"/>
        <w:snapToGrid w:val="0"/>
        <w:spacing w:line="360" w:lineRule="auto"/>
        <w:ind w:firstLineChars="200" w:firstLine="480"/>
        <w:rPr>
          <w:rFonts w:ascii="宋体" w:hAnsi="宋体"/>
          <w:bCs/>
          <w:sz w:val="24"/>
          <w:szCs w:val="24"/>
        </w:rPr>
      </w:pPr>
      <w:r w:rsidRPr="00270C6B">
        <w:rPr>
          <w:rFonts w:ascii="宋体" w:hAnsi="宋体" w:hint="eastAsia"/>
          <w:bCs/>
          <w:sz w:val="24"/>
          <w:szCs w:val="24"/>
        </w:rPr>
        <w:t>4）基金参与证券借贷交易、正回购交易，所有已借出而未归还证券总市值或所有已售出而未回购证券总市值均不得超过基金总资产的50%;</w:t>
      </w:r>
    </w:p>
    <w:p w14:paraId="0D3EA49E" w14:textId="77777777" w:rsidR="00270C6B" w:rsidRPr="00270C6B" w:rsidRDefault="00270C6B" w:rsidP="00270C6B">
      <w:pPr>
        <w:adjustRightInd w:val="0"/>
        <w:snapToGrid w:val="0"/>
        <w:spacing w:line="360" w:lineRule="auto"/>
        <w:ind w:firstLineChars="200" w:firstLine="480"/>
        <w:rPr>
          <w:rFonts w:ascii="宋体" w:hAnsi="宋体"/>
          <w:bCs/>
          <w:sz w:val="24"/>
          <w:szCs w:val="24"/>
        </w:rPr>
      </w:pPr>
      <w:r w:rsidRPr="00270C6B">
        <w:rPr>
          <w:rFonts w:ascii="宋体" w:hAnsi="宋体" w:hint="eastAsia"/>
          <w:bCs/>
          <w:sz w:val="24"/>
          <w:szCs w:val="24"/>
        </w:rPr>
        <w:t>前项比例限制计算，基金因参与证券借贷交易、正回购交易而持有的担保物、现金不得计入基金总资产；</w:t>
      </w:r>
    </w:p>
    <w:p w14:paraId="373DF89F" w14:textId="77777777" w:rsidR="00270C6B" w:rsidRPr="00270C6B" w:rsidRDefault="00270C6B" w:rsidP="00270C6B">
      <w:pPr>
        <w:adjustRightInd w:val="0"/>
        <w:snapToGrid w:val="0"/>
        <w:spacing w:line="360" w:lineRule="auto"/>
        <w:ind w:firstLineChars="200" w:firstLine="480"/>
        <w:rPr>
          <w:rFonts w:ascii="宋体" w:hAnsi="宋体"/>
          <w:bCs/>
          <w:sz w:val="24"/>
          <w:szCs w:val="24"/>
        </w:rPr>
      </w:pPr>
      <w:r w:rsidRPr="00270C6B">
        <w:rPr>
          <w:rFonts w:ascii="宋体" w:hAnsi="宋体" w:hint="eastAsia"/>
          <w:bCs/>
          <w:sz w:val="24"/>
          <w:szCs w:val="24"/>
        </w:rPr>
        <w:t>5）法律法规及中国证监会规定的和《基金合同》约定的其他投资限制。</w:t>
      </w:r>
    </w:p>
    <w:p w14:paraId="5F77C094" w14:textId="77777777" w:rsidR="00270C6B" w:rsidRPr="00270C6B" w:rsidRDefault="00270C6B" w:rsidP="00270C6B">
      <w:pPr>
        <w:adjustRightInd w:val="0"/>
        <w:snapToGrid w:val="0"/>
        <w:spacing w:line="360" w:lineRule="auto"/>
        <w:ind w:firstLineChars="200" w:firstLine="480"/>
        <w:rPr>
          <w:rFonts w:ascii="宋体" w:hAnsi="宋体"/>
          <w:bCs/>
          <w:sz w:val="24"/>
          <w:szCs w:val="24"/>
        </w:rPr>
      </w:pPr>
      <w:r w:rsidRPr="00270C6B">
        <w:rPr>
          <w:rFonts w:ascii="宋体" w:hAnsi="宋体" w:hint="eastAsia"/>
          <w:bCs/>
          <w:sz w:val="24"/>
          <w:szCs w:val="24"/>
        </w:rPr>
        <w:t>针对境外投资部分，因证券、期货市场波动、证券发行人合并、基金规模变动等基金管理人之外的因素致使基金投资比例不符合第（5）项中的第1）点规定的情形的，基金管理人应当在30个交易日内进行调整，但中国证监会规定的特殊情形除外。法律法规另有规定的，从其规定。</w:t>
      </w:r>
    </w:p>
    <w:p w14:paraId="1023DF49" w14:textId="77777777" w:rsidR="00270C6B" w:rsidRPr="00270C6B" w:rsidRDefault="00270C6B" w:rsidP="00270C6B">
      <w:pPr>
        <w:adjustRightInd w:val="0"/>
        <w:snapToGrid w:val="0"/>
        <w:spacing w:line="360" w:lineRule="auto"/>
        <w:ind w:firstLineChars="200" w:firstLine="480"/>
        <w:rPr>
          <w:rFonts w:ascii="宋体" w:hAnsi="宋体"/>
          <w:bCs/>
          <w:sz w:val="24"/>
          <w:szCs w:val="24"/>
        </w:rPr>
      </w:pPr>
      <w:r w:rsidRPr="00270C6B">
        <w:rPr>
          <w:rFonts w:ascii="宋体" w:hAnsi="宋体" w:hint="eastAsia"/>
          <w:bCs/>
          <w:sz w:val="24"/>
          <w:szCs w:val="24"/>
        </w:rPr>
        <w:t>除上述第（2）项以及第（4）项的第7）、14）、15)点规定的情形之外，因证</w:t>
      </w:r>
      <w:r w:rsidRPr="00270C6B">
        <w:rPr>
          <w:rFonts w:ascii="宋体" w:hAnsi="宋体" w:hint="eastAsia"/>
          <w:bCs/>
          <w:sz w:val="24"/>
          <w:szCs w:val="24"/>
        </w:rPr>
        <w:lastRenderedPageBreak/>
        <w:t>券、期货市场波动、证券发行人合并、基金规模变动等基金管理人之外的因素致使基金投资比例不符合上述规定投资比例的，基金管理人应当在10个交易日内进行调整，但中国证监会规定的特殊情形除外。</w:t>
      </w:r>
    </w:p>
    <w:p w14:paraId="4B39AE1D" w14:textId="77777777" w:rsidR="00270C6B" w:rsidRPr="00270C6B" w:rsidRDefault="00270C6B" w:rsidP="00270C6B">
      <w:pPr>
        <w:adjustRightInd w:val="0"/>
        <w:snapToGrid w:val="0"/>
        <w:spacing w:line="360" w:lineRule="auto"/>
        <w:ind w:firstLineChars="200" w:firstLine="480"/>
        <w:rPr>
          <w:rFonts w:ascii="宋体" w:hAnsi="宋体"/>
          <w:bCs/>
          <w:sz w:val="24"/>
          <w:szCs w:val="24"/>
        </w:rPr>
      </w:pPr>
      <w:r w:rsidRPr="00270C6B">
        <w:rPr>
          <w:rFonts w:ascii="宋体" w:hAnsi="宋体" w:hint="eastAsia"/>
          <w:bCs/>
          <w:sz w:val="24"/>
          <w:szCs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14:paraId="75C539B3" w14:textId="77777777" w:rsidR="00270C6B" w:rsidRDefault="00270C6B">
      <w:pPr>
        <w:adjustRightInd w:val="0"/>
        <w:snapToGrid w:val="0"/>
        <w:spacing w:line="360" w:lineRule="auto"/>
        <w:ind w:firstLineChars="200" w:firstLine="480"/>
        <w:rPr>
          <w:rFonts w:ascii="宋体" w:hAnsi="宋体"/>
          <w:bCs/>
          <w:sz w:val="24"/>
          <w:szCs w:val="24"/>
        </w:rPr>
      </w:pPr>
      <w:r w:rsidRPr="00270C6B">
        <w:rPr>
          <w:rFonts w:ascii="宋体" w:hAnsi="宋体" w:hint="eastAsia"/>
          <w:bCs/>
          <w:sz w:val="24"/>
          <w:szCs w:val="24"/>
        </w:rPr>
        <w:t>如果法律法规对上述投资组合比例限制进行变更的，基金管理人在履行适当程序后，可相应调整投资比例限制规定或按变更后的规定执行，不需经基金份额持有人大会审议。法律法规或监管部门取消上述限制，如适用于本基金，基金管理人在履行适当程序后，则本基金投资不再受相关限制。</w:t>
      </w:r>
    </w:p>
    <w:bookmarkEnd w:id="10"/>
    <w:p w14:paraId="687FBAF7"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（三）基金托管人根据有关法律法规的规定及《基金合同》的约定，对本托管协议第十五条第九款基金投资禁止行为通过事后监督方式进行监督。</w:t>
      </w:r>
    </w:p>
    <w:p w14:paraId="640F8440" w14:textId="5F4F69B3" w:rsidR="00795335" w:rsidRDefault="00795335">
      <w:pPr>
        <w:adjustRightInd w:val="0"/>
        <w:snapToGrid w:val="0"/>
        <w:spacing w:line="360" w:lineRule="auto"/>
        <w:ind w:firstLineChars="200" w:firstLine="480"/>
        <w:rPr>
          <w:rFonts w:ascii="宋体" w:hAnsi="宋体"/>
          <w:bCs/>
          <w:sz w:val="24"/>
          <w:szCs w:val="24"/>
        </w:rPr>
      </w:pPr>
      <w:r w:rsidRPr="00795335">
        <w:rPr>
          <w:rFonts w:ascii="宋体"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r>
        <w:rPr>
          <w:rFonts w:ascii="宋体" w:hAnsi="宋体" w:cs="Arial" w:hint="eastAsia"/>
          <w:sz w:val="24"/>
        </w:rPr>
        <w:t>。</w:t>
      </w:r>
    </w:p>
    <w:p w14:paraId="05663AA6"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法律、行政法规或监管部门取消或变更上述限制，如适用于本基金，基金管理人在履行适当程序后，则本基金投资不再受相关限制或按变更后的规定执行。</w:t>
      </w:r>
    </w:p>
    <w:bookmarkEnd w:id="11"/>
    <w:p w14:paraId="3DE4AE19"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（四）基金托管人根据有关法律法规的规定及《基金合同》的约定，对基金管理人投资流通受限证券进行监督。</w:t>
      </w:r>
    </w:p>
    <w:p w14:paraId="08F7CCFA"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此处的流通受限证券与上文提及的流动性受限资产并不完全一致。基金管理人投资流通受限证券，应事先根据中国证监会相关规定，明确基金投资流通受限证券的比例，制订严格的投资决策流程和风险控制制度，防范流动性风险、法律风险和操作风险等各种风险。</w:t>
      </w:r>
    </w:p>
    <w:p w14:paraId="257F48C5"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1.本基金</w:t>
      </w:r>
      <w:r>
        <w:rPr>
          <w:rFonts w:ascii="宋体" w:hAnsi="宋体" w:hint="eastAsia"/>
          <w:sz w:val="24"/>
        </w:rPr>
        <w:t>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w:t>
      </w:r>
      <w:r>
        <w:rPr>
          <w:rFonts w:ascii="宋体" w:hAnsi="宋体" w:hint="eastAsia"/>
          <w:sz w:val="24"/>
        </w:rPr>
        <w:lastRenderedPageBreak/>
        <w:t>的质押券等流通受限证券。本基金不投资有锁定期但锁定期不明确的证券。</w:t>
      </w:r>
    </w:p>
    <w:p w14:paraId="1F177F04"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本基金投资的流通受限证券限于可由中国证券登记结算有限责任公司或中央国债登记结算有限责任公司负责登记和存管，并可在证券交易所或全国银行间债券市场交易的证券。</w:t>
      </w:r>
    </w:p>
    <w:p w14:paraId="637080F0"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本基金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14:paraId="5CC109EC"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本基金投资流通受限证券，不得预付任何形式的保证金。若有最新法律法规、监管政策变更规定的，根据最新法律法规、监管政策执行。</w:t>
      </w:r>
    </w:p>
    <w:p w14:paraId="74A67946"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2.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w:t>
      </w:r>
    </w:p>
    <w:p w14:paraId="31876AC4"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14:paraId="2ED1794B"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3.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3526F742"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（1）中国证监会批准发行非公开发行股票的批准文件。</w:t>
      </w:r>
    </w:p>
    <w:p w14:paraId="32E85D9E"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（2）非公开发行股票有关发行数量、发行价格、锁定期等发行资料。</w:t>
      </w:r>
    </w:p>
    <w:p w14:paraId="175C4A8C"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w:t>
      </w:r>
      <w:r>
        <w:rPr>
          <w:rFonts w:ascii="宋体" w:hAnsi="宋体" w:cs="Arial"/>
          <w:sz w:val="24"/>
        </w:rPr>
        <w:t>3</w:t>
      </w:r>
      <w:r>
        <w:rPr>
          <w:rFonts w:ascii="宋体" w:hAnsi="宋体" w:cs="Arial" w:hint="eastAsia"/>
          <w:sz w:val="24"/>
        </w:rPr>
        <w:t>）基金拟认购的数量、价格、总成本、账面价值。</w:t>
      </w:r>
    </w:p>
    <w:p w14:paraId="4AA48FA9" w14:textId="265754F0"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4.基金管理人应在本基金投资非公开发行股票后两个交易日内，在中国证监</w:t>
      </w:r>
      <w:r>
        <w:rPr>
          <w:rFonts w:ascii="宋体" w:hAnsi="宋体" w:cs="Arial" w:hint="eastAsia"/>
          <w:sz w:val="24"/>
        </w:rPr>
        <w:lastRenderedPageBreak/>
        <w:t>会规定媒介披露所投资非公开发行股票的名称、数量、总成本、账面价值，以及总成本和账面价值占基金资产净值的比例、锁定期等信息。</w:t>
      </w:r>
    </w:p>
    <w:p w14:paraId="26282614"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本基金有关投资流通受限证券比例如违反有关限制规定，在合理期限内未能进行及时调整，基金管理人应在两日内按照有关规</w:t>
      </w:r>
      <w:r>
        <w:rPr>
          <w:rFonts w:ascii="宋体" w:hAnsi="宋体" w:hint="eastAsia"/>
          <w:sz w:val="24"/>
        </w:rPr>
        <w:t>定</w:t>
      </w:r>
      <w:r>
        <w:rPr>
          <w:rFonts w:ascii="宋体" w:hAnsi="宋体" w:cs="Arial" w:hint="eastAsia"/>
          <w:sz w:val="24"/>
        </w:rPr>
        <w:t>编制临时报告书，予以公告。</w:t>
      </w:r>
    </w:p>
    <w:p w14:paraId="6D49A561"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sz w:val="24"/>
        </w:rPr>
        <w:t>5</w:t>
      </w:r>
      <w:r>
        <w:rPr>
          <w:rFonts w:ascii="宋体" w:hAnsi="宋体" w:cs="Arial" w:hint="eastAsia"/>
          <w:sz w:val="24"/>
        </w:rPr>
        <w:t>.相关法律法规对基金投资流通受限证券有新规定的，从其规定。</w:t>
      </w:r>
    </w:p>
    <w:p w14:paraId="36934256" w14:textId="7C967CE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（五）基金托管人根据有关法律法规的规定及《基金合同》的约定，对基金资产净值计算、</w:t>
      </w:r>
      <w:r w:rsidR="00716A20">
        <w:rPr>
          <w:rFonts w:ascii="宋体" w:hAnsi="宋体" w:cs="Arial" w:hint="eastAsia"/>
          <w:sz w:val="24"/>
        </w:rPr>
        <w:t>各类</w:t>
      </w:r>
      <w:r>
        <w:rPr>
          <w:rFonts w:ascii="宋体" w:hAnsi="宋体" w:cs="Arial" w:hint="eastAsia"/>
          <w:sz w:val="24"/>
        </w:rPr>
        <w:t>基金份额净值及</w:t>
      </w:r>
      <w:r w:rsidR="00716A20">
        <w:rPr>
          <w:rFonts w:ascii="宋体" w:hAnsi="宋体" w:cs="Arial" w:hint="eastAsia"/>
          <w:sz w:val="24"/>
        </w:rPr>
        <w:t>各类</w:t>
      </w:r>
      <w:r>
        <w:rPr>
          <w:rFonts w:ascii="宋体" w:hAnsi="宋体" w:cs="Arial" w:hint="eastAsia"/>
          <w:sz w:val="24"/>
        </w:rPr>
        <w:t>基金份额累计净值计算、应收资金到账、基金费用开支及收入确定、基金收益分配、相关信息披露、基金宣传推介材料中登载基金业绩表现数据等进行监督和核查。</w:t>
      </w:r>
    </w:p>
    <w:p w14:paraId="4A64A925" w14:textId="3FA98CBA"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六）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及时核对并以书面形式给基金托管人发出回函，就基金托管人的</w:t>
      </w:r>
      <w:r w:rsidR="00795335">
        <w:rPr>
          <w:rFonts w:ascii="宋体" w:hAnsi="宋体" w:cs="Arial" w:hint="eastAsia"/>
          <w:sz w:val="24"/>
        </w:rPr>
        <w:t>合理</w:t>
      </w:r>
      <w:r>
        <w:rPr>
          <w:rFonts w:ascii="宋体" w:hAnsi="宋体" w:cs="Arial" w:hint="eastAsia"/>
          <w:sz w:val="24"/>
        </w:rPr>
        <w:t>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7C94DDB2" w14:textId="67D07658"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（七）基金管理人有义务配合和协助基金托管人依照法律法规、《基金合同》和本托管协议对基金业务执行核查。对基金托管人发出的书面提示，基金管理人应在规定时间内答复并改正，或就基金托管人的</w:t>
      </w:r>
      <w:r w:rsidR="00795335">
        <w:rPr>
          <w:rFonts w:ascii="宋体" w:hAnsi="宋体" w:cs="Arial" w:hint="eastAsia"/>
          <w:sz w:val="24"/>
        </w:rPr>
        <w:t>合理</w:t>
      </w:r>
      <w:r>
        <w:rPr>
          <w:rFonts w:ascii="宋体" w:hAnsi="宋体" w:cs="Arial" w:hint="eastAsia"/>
          <w:sz w:val="24"/>
        </w:rPr>
        <w:t>疑义进行解释或举证；对基金托管人按照法律法规、《基金合同》和本托管协议的要求需向中国证监会报送基金监督报告的事项，基金管理人应积极配合提供相关数据资料和制度等。</w:t>
      </w:r>
    </w:p>
    <w:p w14:paraId="7609F14B" w14:textId="7F622FDC"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（八）若基金托管人发现基金管理人依据交易程序已经生效的指令违反法律、行政法规和其他有关规定，或者违反《基金合同》约定的，应当及时通知基金管理人，由此造成的损失由基金管理人承担。</w:t>
      </w:r>
    </w:p>
    <w:p w14:paraId="767ABF5B" w14:textId="77777777" w:rsidR="00E3116F" w:rsidRDefault="00821F7A">
      <w:pPr>
        <w:spacing w:line="360" w:lineRule="auto"/>
        <w:ind w:firstLineChars="200" w:firstLine="480"/>
        <w:rPr>
          <w:rFonts w:ascii="宋体" w:hAnsi="宋体" w:cs="Arial"/>
          <w:sz w:val="24"/>
        </w:rPr>
      </w:pPr>
      <w:r>
        <w:rPr>
          <w:rFonts w:ascii="宋体" w:hAnsi="宋体" w:cs="Arial" w:hint="eastAsia"/>
          <w:sz w:val="24"/>
        </w:rPr>
        <w:t>（九）基金托管人发现基金管理人有重大违规行为，应及时报告中国证监会，同时通知基金管理人限期纠正，并将纠正结果报告中国证监会。基金管理人无正当理由，拒绝、阻挠基金托管人根据本托管协议规定行使监督权，或采取拖延、欺诈等手段妨碍基金托管人进行有效监督，情节严重或经基金托管人提出警告仍不改正的，基金托管人应报告中国证监会。</w:t>
      </w:r>
    </w:p>
    <w:p w14:paraId="5E0C02AA" w14:textId="77777777" w:rsidR="00E3116F" w:rsidRDefault="00E3116F">
      <w:pPr>
        <w:spacing w:line="360" w:lineRule="auto"/>
        <w:ind w:firstLineChars="200" w:firstLine="480"/>
        <w:rPr>
          <w:rFonts w:ascii="宋体" w:hAnsi="宋体"/>
          <w:sz w:val="24"/>
        </w:rPr>
      </w:pPr>
    </w:p>
    <w:p w14:paraId="0DCF104C" w14:textId="77777777" w:rsidR="00E3116F" w:rsidRDefault="00821F7A">
      <w:pPr>
        <w:pStyle w:val="2"/>
        <w:spacing w:line="360" w:lineRule="auto"/>
        <w:jc w:val="center"/>
        <w:rPr>
          <w:rFonts w:ascii="宋体" w:eastAsia="宋体" w:hAnsi="宋体"/>
          <w:sz w:val="30"/>
        </w:rPr>
      </w:pPr>
      <w:bookmarkStart w:id="12" w:name="_Toc119402710"/>
      <w:bookmarkStart w:id="13" w:name="_Toc118774803"/>
      <w:bookmarkStart w:id="14" w:name="_Toc118972648"/>
      <w:bookmarkStart w:id="15" w:name="_Toc86727355"/>
      <w:bookmarkStart w:id="16" w:name="_Toc108512358"/>
      <w:bookmarkStart w:id="17" w:name="_Toc86649722"/>
      <w:bookmarkStart w:id="18" w:name="_Toc120435783"/>
      <w:bookmarkStart w:id="19" w:name="_Toc110761796"/>
      <w:bookmarkStart w:id="20" w:name="_Toc86223242"/>
      <w:bookmarkStart w:id="21" w:name="_Toc86737929"/>
      <w:bookmarkStart w:id="22" w:name="_Toc516758898"/>
      <w:bookmarkStart w:id="23" w:name="_Toc86225291"/>
      <w:bookmarkStart w:id="24" w:name="_Toc110830492"/>
      <w:bookmarkStart w:id="25" w:name="_Toc86726439"/>
      <w:bookmarkStart w:id="26" w:name="_Toc110765660"/>
      <w:bookmarkStart w:id="27" w:name="_Toc89163368"/>
      <w:bookmarkStart w:id="28" w:name="_Toc118212950"/>
      <w:r>
        <w:rPr>
          <w:rFonts w:ascii="宋体" w:eastAsia="宋体" w:hAnsi="宋体" w:hint="eastAsia"/>
          <w:sz w:val="30"/>
        </w:rPr>
        <w:t>四、基金管理人对基金托管人的业务核查</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5BB0F399" w14:textId="0A31C588" w:rsidR="00E3116F" w:rsidRDefault="00821F7A">
      <w:pPr>
        <w:adjustRightInd w:val="0"/>
        <w:snapToGrid w:val="0"/>
        <w:spacing w:line="360" w:lineRule="auto"/>
        <w:ind w:firstLine="480"/>
        <w:rPr>
          <w:rFonts w:ascii="宋体" w:hAnsi="宋体" w:cs="Arial"/>
          <w:sz w:val="24"/>
        </w:rPr>
      </w:pPr>
      <w:r>
        <w:rPr>
          <w:rFonts w:ascii="宋体" w:hAnsi="宋体" w:cs="Arial" w:hint="eastAsia"/>
          <w:sz w:val="24"/>
        </w:rPr>
        <w:t>（一）基金管理人对基金托管人履行托管职责情况进行核查，核查事项包括基金托管人安全保管基金财产、开设基金财产的资金账户和证券账户等投资所需账户、复核基金管理人计算的基金资产净值、</w:t>
      </w:r>
      <w:r w:rsidR="00716A20">
        <w:rPr>
          <w:rFonts w:ascii="宋体" w:hAnsi="宋体" w:cs="Arial" w:hint="eastAsia"/>
          <w:sz w:val="24"/>
        </w:rPr>
        <w:t>各类</w:t>
      </w:r>
      <w:r>
        <w:rPr>
          <w:rFonts w:ascii="宋体" w:hAnsi="宋体" w:cs="Arial" w:hint="eastAsia"/>
          <w:sz w:val="24"/>
        </w:rPr>
        <w:t>基金份额累计净值和</w:t>
      </w:r>
      <w:r w:rsidR="00716A20">
        <w:rPr>
          <w:rFonts w:ascii="宋体" w:hAnsi="宋体" w:cs="Arial" w:hint="eastAsia"/>
          <w:sz w:val="24"/>
        </w:rPr>
        <w:t>各类</w:t>
      </w:r>
      <w:r>
        <w:rPr>
          <w:rFonts w:ascii="宋体" w:hAnsi="宋体" w:cs="Arial" w:hint="eastAsia"/>
          <w:sz w:val="24"/>
        </w:rPr>
        <w:t>基金份额净值、根据基金管理人指令办理清算交收、相关信息披露和监督基金投资运作等行为。</w:t>
      </w:r>
    </w:p>
    <w:p w14:paraId="2E7E1311" w14:textId="77777777" w:rsidR="00E3116F" w:rsidRDefault="00821F7A">
      <w:pPr>
        <w:adjustRightInd w:val="0"/>
        <w:snapToGrid w:val="0"/>
        <w:spacing w:line="360" w:lineRule="auto"/>
        <w:ind w:firstLine="480"/>
        <w:rPr>
          <w:rFonts w:ascii="宋体" w:hAnsi="宋体" w:cs="Arial"/>
          <w:sz w:val="24"/>
        </w:rPr>
      </w:pPr>
      <w:r>
        <w:rPr>
          <w:rFonts w:ascii="宋体"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35AE4EE4" w14:textId="77777777" w:rsidR="00E3116F" w:rsidRDefault="00821F7A">
      <w:pPr>
        <w:adjustRightInd w:val="0"/>
        <w:snapToGrid w:val="0"/>
        <w:spacing w:line="360" w:lineRule="auto"/>
        <w:ind w:firstLine="480"/>
        <w:rPr>
          <w:rFonts w:ascii="宋体" w:hAnsi="宋体" w:cs="Arial"/>
          <w:sz w:val="24"/>
        </w:rPr>
      </w:pPr>
      <w:r>
        <w:rPr>
          <w:rFonts w:ascii="宋体" w:hAnsi="宋体" w:cs="Arial" w:hint="eastAsia"/>
          <w:sz w:val="24"/>
        </w:rPr>
        <w:t>（三）基金管理人发现基金托管人有重大违规行为，应及时报告中国证监会，同时通知基金托管人限期纠正，并将纠正结果报告中国证监会。基金托管人无正当理由，拒绝、阻挠基金管理人根据本协议规定行使监督权，或采取拖延、欺诈等手段妨碍基金管理人进行有效监督，情节严重或经基金管理人提出警告仍不改正的，基金管理人应报告中国证监会。</w:t>
      </w:r>
    </w:p>
    <w:p w14:paraId="7B1540E3" w14:textId="77777777" w:rsidR="00E3116F" w:rsidRDefault="00E3116F">
      <w:pPr>
        <w:spacing w:line="360" w:lineRule="auto"/>
        <w:rPr>
          <w:rFonts w:ascii="宋体" w:hAnsi="宋体"/>
          <w:sz w:val="24"/>
        </w:rPr>
      </w:pPr>
    </w:p>
    <w:p w14:paraId="79675047" w14:textId="77777777" w:rsidR="00E3116F" w:rsidRDefault="00821F7A">
      <w:pPr>
        <w:pStyle w:val="2"/>
        <w:spacing w:line="360" w:lineRule="auto"/>
        <w:jc w:val="center"/>
        <w:rPr>
          <w:rFonts w:ascii="宋体" w:eastAsia="宋体" w:hAnsi="宋体"/>
          <w:sz w:val="30"/>
        </w:rPr>
      </w:pPr>
      <w:bookmarkStart w:id="29" w:name="_Toc119402711"/>
      <w:bookmarkStart w:id="30" w:name="_Toc110765661"/>
      <w:bookmarkStart w:id="31" w:name="_Toc86726440"/>
      <w:bookmarkStart w:id="32" w:name="_Toc110830493"/>
      <w:bookmarkStart w:id="33" w:name="_Toc84234388"/>
      <w:bookmarkStart w:id="34" w:name="_Toc118774804"/>
      <w:bookmarkStart w:id="35" w:name="_Toc118212951"/>
      <w:bookmarkStart w:id="36" w:name="_Toc516758899"/>
      <w:bookmarkStart w:id="37" w:name="_Toc86727356"/>
      <w:bookmarkStart w:id="38" w:name="_Toc89163369"/>
      <w:bookmarkStart w:id="39" w:name="_Toc118972649"/>
      <w:bookmarkStart w:id="40" w:name="_Toc86204789"/>
      <w:bookmarkStart w:id="41" w:name="_Toc86737930"/>
      <w:bookmarkStart w:id="42" w:name="_Toc86649723"/>
      <w:bookmarkStart w:id="43" w:name="_Toc86223243"/>
      <w:bookmarkStart w:id="44" w:name="_Toc84133786"/>
      <w:bookmarkStart w:id="45" w:name="_Toc108512359"/>
      <w:bookmarkStart w:id="46" w:name="_Toc120435784"/>
      <w:bookmarkStart w:id="47" w:name="_Toc84234435"/>
      <w:bookmarkStart w:id="48" w:name="_Toc86225292"/>
      <w:bookmarkStart w:id="49" w:name="_Toc110761797"/>
      <w:r>
        <w:rPr>
          <w:rFonts w:ascii="宋体" w:eastAsia="宋体" w:hAnsi="宋体" w:hint="eastAsia"/>
          <w:sz w:val="30"/>
        </w:rPr>
        <w:t>五、基金财产的保管</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0B7FB1E7" w14:textId="77777777" w:rsidR="00E3116F" w:rsidRDefault="00821F7A">
      <w:pPr>
        <w:adjustRightInd w:val="0"/>
        <w:snapToGrid w:val="0"/>
        <w:spacing w:line="360" w:lineRule="auto"/>
        <w:ind w:firstLine="480"/>
        <w:rPr>
          <w:rFonts w:ascii="宋体" w:hAnsi="宋体" w:cs="Arial"/>
          <w:sz w:val="24"/>
        </w:rPr>
      </w:pPr>
      <w:r>
        <w:rPr>
          <w:rFonts w:ascii="宋体" w:hAnsi="宋体" w:cs="Arial" w:hint="eastAsia"/>
          <w:sz w:val="24"/>
        </w:rPr>
        <w:t>（一）基金财产保管的原则</w:t>
      </w:r>
    </w:p>
    <w:p w14:paraId="3CD89301" w14:textId="2F75464C" w:rsidR="00E3116F" w:rsidRDefault="00821F7A">
      <w:pPr>
        <w:adjustRightInd w:val="0"/>
        <w:snapToGrid w:val="0"/>
        <w:spacing w:line="360" w:lineRule="auto"/>
        <w:ind w:firstLine="480"/>
        <w:rPr>
          <w:rFonts w:ascii="宋体" w:hAnsi="宋体" w:cs="Arial"/>
          <w:sz w:val="24"/>
        </w:rPr>
      </w:pPr>
      <w:r>
        <w:rPr>
          <w:rFonts w:ascii="宋体" w:hAnsi="宋体" w:cs="Arial" w:hint="eastAsia"/>
          <w:sz w:val="24"/>
        </w:rPr>
        <w:t>1.基金财产应独立于基金管理人、基金托管人</w:t>
      </w:r>
      <w:r w:rsidR="00795335">
        <w:rPr>
          <w:rFonts w:ascii="宋体" w:hAnsi="宋体" w:cs="Arial" w:hint="eastAsia"/>
          <w:sz w:val="24"/>
        </w:rPr>
        <w:t>、境外</w:t>
      </w:r>
      <w:r w:rsidR="00142178">
        <w:rPr>
          <w:rFonts w:ascii="宋体" w:hAnsi="宋体" w:cs="Arial" w:hint="eastAsia"/>
          <w:sz w:val="24"/>
        </w:rPr>
        <w:t>托管</w:t>
      </w:r>
      <w:r w:rsidR="00795335">
        <w:rPr>
          <w:rFonts w:ascii="宋体" w:hAnsi="宋体" w:cs="Arial" w:hint="eastAsia"/>
          <w:sz w:val="24"/>
        </w:rPr>
        <w:t>人</w:t>
      </w:r>
      <w:r>
        <w:rPr>
          <w:rFonts w:ascii="宋体" w:hAnsi="宋体" w:cs="Arial" w:hint="eastAsia"/>
          <w:sz w:val="24"/>
        </w:rPr>
        <w:t>的固有财产。</w:t>
      </w:r>
    </w:p>
    <w:p w14:paraId="5B8C6E05" w14:textId="77777777" w:rsidR="00E3116F" w:rsidRDefault="00821F7A">
      <w:pPr>
        <w:adjustRightInd w:val="0"/>
        <w:snapToGrid w:val="0"/>
        <w:spacing w:line="360" w:lineRule="auto"/>
        <w:ind w:firstLine="480"/>
        <w:rPr>
          <w:rFonts w:ascii="宋体" w:hAnsi="宋体" w:cs="Arial"/>
          <w:sz w:val="24"/>
        </w:rPr>
      </w:pPr>
      <w:r>
        <w:rPr>
          <w:rFonts w:ascii="宋体" w:hAnsi="宋体" w:cs="Arial" w:hint="eastAsia"/>
          <w:sz w:val="24"/>
        </w:rPr>
        <w:t>2.基金托管人应安全保管基金财产。</w:t>
      </w:r>
    </w:p>
    <w:p w14:paraId="35659BCB" w14:textId="77777777" w:rsidR="00E3116F" w:rsidRDefault="00821F7A">
      <w:pPr>
        <w:adjustRightInd w:val="0"/>
        <w:snapToGrid w:val="0"/>
        <w:spacing w:line="360" w:lineRule="auto"/>
        <w:ind w:firstLine="480"/>
        <w:rPr>
          <w:rFonts w:ascii="宋体" w:hAnsi="宋体" w:cs="Arial"/>
          <w:sz w:val="24"/>
        </w:rPr>
      </w:pPr>
      <w:r>
        <w:rPr>
          <w:rFonts w:ascii="宋体" w:hAnsi="宋体" w:cs="Arial" w:hint="eastAsia"/>
          <w:sz w:val="24"/>
        </w:rPr>
        <w:t>3.基金托管人按照规定开设基金财产的资金账户和证券账户等</w:t>
      </w:r>
      <w:r>
        <w:rPr>
          <w:rFonts w:ascii="宋体" w:hAnsi="宋体" w:cs="Arial"/>
          <w:sz w:val="24"/>
        </w:rPr>
        <w:t>投资所需账户</w:t>
      </w:r>
      <w:r>
        <w:rPr>
          <w:rFonts w:ascii="宋体" w:hAnsi="宋体" w:cs="Arial" w:hint="eastAsia"/>
          <w:sz w:val="24"/>
        </w:rPr>
        <w:t>。</w:t>
      </w:r>
    </w:p>
    <w:p w14:paraId="16169CC1" w14:textId="70CFA375" w:rsidR="00E3116F" w:rsidRDefault="00821F7A">
      <w:pPr>
        <w:adjustRightInd w:val="0"/>
        <w:snapToGrid w:val="0"/>
        <w:spacing w:line="360" w:lineRule="auto"/>
        <w:ind w:firstLine="480"/>
        <w:rPr>
          <w:rFonts w:ascii="宋体" w:hAnsi="宋体" w:cs="Arial"/>
          <w:sz w:val="24"/>
        </w:rPr>
      </w:pPr>
      <w:r>
        <w:rPr>
          <w:rFonts w:ascii="宋体" w:hAnsi="宋体" w:cs="Arial" w:hint="eastAsia"/>
          <w:sz w:val="24"/>
        </w:rPr>
        <w:t>4.基金托管人对所托管的不同基金财产分别设置账户，分账管理，独立核算，</w:t>
      </w:r>
      <w:r>
        <w:rPr>
          <w:rFonts w:ascii="宋体" w:hAnsi="宋体" w:cs="Arial" w:hint="eastAsia"/>
          <w:sz w:val="24"/>
        </w:rPr>
        <w:lastRenderedPageBreak/>
        <w:t>确保基金财产的完整与独立。</w:t>
      </w:r>
      <w:r w:rsidR="00741543" w:rsidRPr="00C814CF">
        <w:rPr>
          <w:rFonts w:ascii="宋体" w:hAnsi="宋体" w:cs="Arial" w:hint="eastAsia"/>
          <w:sz w:val="24"/>
        </w:rPr>
        <w:t>本基金财产由基金托管人和/或其委托的境外托管人按照当地适用的法律法规和市场惯例进行保管。</w:t>
      </w:r>
    </w:p>
    <w:p w14:paraId="7C886210" w14:textId="46D6258D" w:rsidR="00E3116F" w:rsidRDefault="00821F7A">
      <w:pPr>
        <w:adjustRightInd w:val="0"/>
        <w:snapToGrid w:val="0"/>
        <w:spacing w:line="360" w:lineRule="auto"/>
        <w:ind w:firstLine="480"/>
        <w:rPr>
          <w:rFonts w:ascii="宋体" w:hAnsi="宋体" w:cs="Arial"/>
          <w:sz w:val="24"/>
        </w:rPr>
      </w:pPr>
      <w:r>
        <w:rPr>
          <w:rFonts w:ascii="宋体" w:hAnsi="宋体" w:cs="Arial" w:hint="eastAsia"/>
          <w:sz w:val="24"/>
        </w:rPr>
        <w:t>5.基金托管人按照《基金合同》和本协议的约定保管基金财产，如有特殊情况双方可另行协商解决。基金</w:t>
      </w:r>
      <w:r>
        <w:rPr>
          <w:rFonts w:ascii="宋体" w:hAnsi="宋体" w:hint="eastAsia"/>
          <w:sz w:val="24"/>
        </w:rPr>
        <w:t>托管人未经基金管理人的指令，不得自行运用、处分、分配本基金的任何资产（不包含基金托管人依据中国证券登记结算有限责任公司结算数据完成场内交易交收、开户银行或交易/登记结算机构扣收交易费、结算费和账户维护费等费用</w:t>
      </w:r>
      <w:r w:rsidR="001B5209">
        <w:rPr>
          <w:rFonts w:ascii="宋体" w:hAnsi="宋体" w:hint="eastAsia"/>
          <w:sz w:val="24"/>
        </w:rPr>
        <w:t>，</w:t>
      </w:r>
      <w:r w:rsidR="001B5209" w:rsidRPr="00C814CF">
        <w:rPr>
          <w:rFonts w:ascii="宋体" w:hAnsi="宋体" w:hint="eastAsia"/>
          <w:sz w:val="24"/>
        </w:rPr>
        <w:t>以及其他按照境外当地市场的法律法规、结算机构规定和市场惯例等自动扣收的费用等</w:t>
      </w:r>
      <w:r>
        <w:rPr>
          <w:rFonts w:ascii="宋体" w:hAnsi="宋体" w:hint="eastAsia"/>
          <w:sz w:val="24"/>
        </w:rPr>
        <w:t>）。</w:t>
      </w:r>
    </w:p>
    <w:p w14:paraId="17270ABB" w14:textId="77777777" w:rsidR="00E3116F" w:rsidRDefault="00821F7A">
      <w:pPr>
        <w:adjustRightInd w:val="0"/>
        <w:snapToGrid w:val="0"/>
        <w:spacing w:line="360" w:lineRule="auto"/>
        <w:ind w:firstLine="480"/>
        <w:rPr>
          <w:rFonts w:ascii="宋体" w:hAnsi="宋体" w:cs="Arial"/>
          <w:sz w:val="24"/>
        </w:rPr>
      </w:pPr>
      <w:r>
        <w:rPr>
          <w:rFonts w:ascii="宋体" w:hAnsi="宋体" w:cs="Arial" w:hint="eastAsia"/>
          <w:sz w:val="24"/>
        </w:rPr>
        <w:t>6.对于因为基金投资产生的应收资产，应由基金管理人负责与有关当事人确定到账日期并通知基金托管人，到账日基金财产没有到达基金账户的，基金托管人应及时通知并配合基金管理人采取措施进行催收。由此给基金财产造成损失的，基金管理人应负责向有关当事人追偿基金财产的损失，基金托管人对基金管理人的追偿行为应予以必要的协助与配合，基金托管人对此不承担任何责任。</w:t>
      </w:r>
    </w:p>
    <w:p w14:paraId="7ECD6A1E" w14:textId="77777777" w:rsidR="00E3116F" w:rsidRDefault="00821F7A">
      <w:pPr>
        <w:adjustRightInd w:val="0"/>
        <w:snapToGrid w:val="0"/>
        <w:spacing w:line="360" w:lineRule="auto"/>
        <w:ind w:firstLine="480"/>
        <w:rPr>
          <w:rFonts w:ascii="宋体" w:hAnsi="宋体" w:cs="Arial"/>
          <w:sz w:val="24"/>
        </w:rPr>
      </w:pPr>
      <w:r>
        <w:rPr>
          <w:rFonts w:ascii="宋体" w:hAnsi="宋体" w:cs="Arial" w:hint="eastAsia"/>
          <w:sz w:val="24"/>
        </w:rPr>
        <w:t>7.除依据法律法规和《基金合同》的规定外，基金托管人不得委托第三人托管基金财产。</w:t>
      </w:r>
    </w:p>
    <w:p w14:paraId="52B74507" w14:textId="66889376" w:rsidR="007D56C3" w:rsidRDefault="007D56C3">
      <w:pPr>
        <w:adjustRightInd w:val="0"/>
        <w:snapToGrid w:val="0"/>
        <w:spacing w:line="360" w:lineRule="auto"/>
        <w:ind w:firstLine="480"/>
        <w:rPr>
          <w:rFonts w:ascii="宋体" w:hAnsi="宋体" w:cs="Arial"/>
          <w:sz w:val="24"/>
        </w:rPr>
      </w:pPr>
      <w:r w:rsidRPr="00C814CF">
        <w:rPr>
          <w:rFonts w:ascii="宋体" w:hAnsi="宋体" w:cs="Arial" w:hint="eastAsia"/>
          <w:sz w:val="24"/>
        </w:rPr>
        <w:t>8</w:t>
      </w:r>
      <w:r w:rsidR="00C814CF">
        <w:rPr>
          <w:rFonts w:ascii="宋体" w:hAnsi="宋体" w:cs="Arial" w:hint="eastAsia"/>
          <w:sz w:val="24"/>
        </w:rPr>
        <w:t>.</w:t>
      </w:r>
      <w:r w:rsidRPr="00C814CF">
        <w:rPr>
          <w:rFonts w:ascii="宋体" w:hAnsi="宋体" w:cs="Arial" w:hint="eastAsia"/>
          <w:sz w:val="24"/>
        </w:rPr>
        <w:t>基金管理人、基金托管人因依法解散、被依法撤销或者被依法宣告破产等原因进行清算的，基金财产不属于其清算财产。根据当地法律法规和市场惯例，基金管理人理解并同意，存放于境外银行的现金及存款（包括存放于境外托管人账户的现金及存款）构成该机构的等额无担保债务，除非法律法规及撤销或清盘程序明文规定该等现金及存款不归于清算财产外。该等现金及存款归入其清算财产并不视为基金托管人违反本协议的规定。境外托管人在因依法解散、被依法撤销或者被依法宣告清盘或破产等原因进行终止清算时，除非在相关法律法规强制要求下，不得将托管资产项下的证券资产归入其清算资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14:paraId="296CFC75" w14:textId="77777777" w:rsidR="00E3116F" w:rsidRDefault="00821F7A">
      <w:pPr>
        <w:adjustRightInd w:val="0"/>
        <w:snapToGrid w:val="0"/>
        <w:spacing w:line="360" w:lineRule="auto"/>
        <w:ind w:firstLine="480"/>
        <w:rPr>
          <w:rFonts w:ascii="宋体" w:hAnsi="宋体" w:cs="Arial"/>
          <w:sz w:val="24"/>
        </w:rPr>
      </w:pPr>
      <w:r>
        <w:rPr>
          <w:rFonts w:ascii="宋体" w:hAnsi="宋体" w:cs="Arial" w:hint="eastAsia"/>
          <w:sz w:val="24"/>
        </w:rPr>
        <w:t>（二）基金募集期间及募集资金的验资</w:t>
      </w:r>
    </w:p>
    <w:p w14:paraId="551DDC36" w14:textId="208DF22E" w:rsidR="00E3116F" w:rsidRDefault="00821F7A">
      <w:pPr>
        <w:adjustRightInd w:val="0"/>
        <w:snapToGrid w:val="0"/>
        <w:spacing w:line="360" w:lineRule="auto"/>
        <w:ind w:firstLine="480"/>
        <w:rPr>
          <w:rFonts w:ascii="宋体" w:hAnsi="宋体" w:cs="Arial"/>
          <w:sz w:val="24"/>
        </w:rPr>
      </w:pPr>
      <w:r>
        <w:rPr>
          <w:rFonts w:ascii="宋体" w:hAnsi="宋体" w:cs="Arial" w:hint="eastAsia"/>
          <w:sz w:val="24"/>
        </w:rPr>
        <w:t>1.基金募集期间募集的资金应存于基金管理人开立的“基金募集专户”。该账户由基金管理人开立并管理。</w:t>
      </w:r>
    </w:p>
    <w:p w14:paraId="10638E6E" w14:textId="77777777" w:rsidR="00E3116F" w:rsidRDefault="00821F7A">
      <w:pPr>
        <w:adjustRightInd w:val="0"/>
        <w:snapToGrid w:val="0"/>
        <w:spacing w:line="360" w:lineRule="auto"/>
        <w:ind w:firstLine="480"/>
        <w:rPr>
          <w:rFonts w:ascii="宋体" w:hAnsi="宋体" w:cs="Arial"/>
          <w:sz w:val="24"/>
        </w:rPr>
      </w:pPr>
      <w:r>
        <w:rPr>
          <w:rFonts w:ascii="宋体" w:hAnsi="宋体" w:cs="Arial"/>
          <w:sz w:val="24"/>
        </w:rPr>
        <w:t>2.基金募集期满或基金停止募集时，</w:t>
      </w:r>
      <w:r>
        <w:rPr>
          <w:rFonts w:ascii="宋体" w:hAnsi="宋体" w:cs="Arial" w:hint="eastAsia"/>
          <w:sz w:val="24"/>
        </w:rPr>
        <w:t>募集的基金份额总额、基金募集金额、基</w:t>
      </w:r>
      <w:r>
        <w:rPr>
          <w:rFonts w:ascii="宋体" w:hAnsi="宋体" w:cs="Arial" w:hint="eastAsia"/>
          <w:sz w:val="24"/>
        </w:rPr>
        <w:lastRenderedPageBreak/>
        <w:t>金份额持有人人数符合《基金法》、《运作办法》等有关规定</w:t>
      </w:r>
      <w:r>
        <w:rPr>
          <w:rFonts w:ascii="宋体" w:hAnsi="宋体" w:cs="Arial"/>
          <w:sz w:val="24"/>
        </w:rPr>
        <w:t>后，基金管理人应</w:t>
      </w:r>
      <w:r>
        <w:rPr>
          <w:rFonts w:ascii="宋体" w:hAnsi="宋体" w:cs="Arial" w:hint="eastAsia"/>
          <w:sz w:val="24"/>
        </w:rPr>
        <w:t>将属于基金财产的全部资金划入基金托管人开立的基金托管资金账户，同时在规定时间内，聘请符合《中华人民共和国证券法》规定的会计师事务所进行验资，出具验资报告。出具的验资报告由参加验资的</w:t>
      </w:r>
      <w:r>
        <w:rPr>
          <w:rFonts w:ascii="宋体" w:hAnsi="宋体" w:cs="Arial"/>
          <w:sz w:val="24"/>
        </w:rPr>
        <w:t>2名或2名以上中国注册会计师签字方为有效。</w:t>
      </w:r>
    </w:p>
    <w:p w14:paraId="7A856701" w14:textId="77777777" w:rsidR="00E3116F" w:rsidRDefault="00821F7A">
      <w:pPr>
        <w:adjustRightInd w:val="0"/>
        <w:snapToGrid w:val="0"/>
        <w:spacing w:line="360" w:lineRule="auto"/>
        <w:ind w:firstLine="480"/>
        <w:rPr>
          <w:rFonts w:ascii="宋体" w:hAnsi="宋体" w:cs="Arial"/>
          <w:sz w:val="24"/>
        </w:rPr>
      </w:pPr>
      <w:r>
        <w:rPr>
          <w:rFonts w:ascii="宋体" w:hAnsi="宋体" w:cs="Arial" w:hint="eastAsia"/>
          <w:sz w:val="24"/>
        </w:rPr>
        <w:t>3.若基金募集期限届满，未能达到《基金合同》生效的条件，由基金管理人按规定办理退款等事宜，基金托管人应予以必要的协助与配合。</w:t>
      </w:r>
    </w:p>
    <w:p w14:paraId="6ACD79A9" w14:textId="77777777" w:rsidR="00E3116F" w:rsidRDefault="00821F7A">
      <w:pPr>
        <w:adjustRightInd w:val="0"/>
        <w:snapToGrid w:val="0"/>
        <w:spacing w:line="360" w:lineRule="auto"/>
        <w:ind w:firstLine="480"/>
        <w:rPr>
          <w:rFonts w:ascii="宋体" w:hAnsi="宋体" w:cs="Arial"/>
          <w:sz w:val="24"/>
        </w:rPr>
      </w:pPr>
      <w:r>
        <w:rPr>
          <w:rFonts w:ascii="宋体" w:hAnsi="宋体" w:cs="Arial" w:hint="eastAsia"/>
          <w:sz w:val="24"/>
        </w:rPr>
        <w:t>（三）基金托管资金账户的开立和管理</w:t>
      </w:r>
    </w:p>
    <w:p w14:paraId="22EC11E2" w14:textId="2DDB4E4D" w:rsidR="00247AFC" w:rsidRPr="00F13072" w:rsidRDefault="00821F7A" w:rsidP="00247AFC">
      <w:pPr>
        <w:spacing w:line="360" w:lineRule="auto"/>
        <w:ind w:firstLineChars="200" w:firstLine="480"/>
        <w:rPr>
          <w:rFonts w:ascii="宋体" w:hAnsi="宋体" w:cs="Arial"/>
          <w:sz w:val="24"/>
        </w:rPr>
      </w:pPr>
      <w:r>
        <w:rPr>
          <w:rFonts w:ascii="宋体" w:hAnsi="宋体" w:cs="Arial" w:hint="eastAsia"/>
          <w:sz w:val="24"/>
        </w:rPr>
        <w:t>1.基金托管人应以基金的名义在其营业机构开立基金的托管资金账户，并根据基金管理人合法合规的指令办理资金收付。本基金的银行预留印鉴由基金托管人保管和使用。</w:t>
      </w:r>
      <w:r w:rsidR="00955589" w:rsidRPr="00C814CF">
        <w:rPr>
          <w:rFonts w:ascii="宋体" w:hAnsi="宋体" w:cs="Arial" w:hint="eastAsia"/>
          <w:sz w:val="24"/>
        </w:rPr>
        <w:t>基金托管人可委托境外托管人开立境外托管资金账户，</w:t>
      </w:r>
      <w:r w:rsidR="00247AFC" w:rsidRPr="00F13072">
        <w:rPr>
          <w:rFonts w:ascii="宋体" w:hAnsi="宋体" w:cs="Arial" w:hint="eastAsia"/>
          <w:sz w:val="24"/>
        </w:rPr>
        <w:t>境外托管人根据基金托管人的指令办理境外资金收付。</w:t>
      </w:r>
    </w:p>
    <w:p w14:paraId="46338868" w14:textId="4749301F" w:rsidR="00E3116F" w:rsidRDefault="00821F7A">
      <w:pPr>
        <w:adjustRightInd w:val="0"/>
        <w:snapToGrid w:val="0"/>
        <w:spacing w:line="360" w:lineRule="auto"/>
        <w:ind w:firstLine="480"/>
        <w:rPr>
          <w:rFonts w:ascii="宋体" w:hAnsi="宋体" w:cs="Arial"/>
          <w:sz w:val="24"/>
        </w:rPr>
      </w:pPr>
      <w:r>
        <w:rPr>
          <w:rFonts w:ascii="宋体" w:hAnsi="宋体" w:cs="Arial" w:hint="eastAsia"/>
          <w:sz w:val="24"/>
        </w:rPr>
        <w:t>2.基金托管资金账户的开立和使用，限于满足开展本基金业务的需要。基金托管人</w:t>
      </w:r>
      <w:r w:rsidR="00247AFC">
        <w:rPr>
          <w:rFonts w:ascii="宋体" w:hAnsi="宋体" w:cs="Arial" w:hint="eastAsia"/>
          <w:sz w:val="24"/>
        </w:rPr>
        <w:t>及其</w:t>
      </w:r>
      <w:r w:rsidR="00247AFC" w:rsidRPr="00F13072">
        <w:rPr>
          <w:rFonts w:ascii="宋体" w:hAnsi="宋体" w:cs="Arial" w:hint="eastAsia"/>
          <w:sz w:val="24"/>
        </w:rPr>
        <w:t>境外托管人</w:t>
      </w:r>
      <w:r>
        <w:rPr>
          <w:rFonts w:ascii="宋体" w:hAnsi="宋体" w:cs="Arial" w:hint="eastAsia"/>
          <w:sz w:val="24"/>
        </w:rPr>
        <w:t>和基金管理人不得假借本基金的名义开立任何其他银行账户；亦不得使用基金的任何</w:t>
      </w:r>
      <w:r w:rsidR="006B7C09">
        <w:rPr>
          <w:rFonts w:ascii="宋体" w:hAnsi="宋体" w:cs="Arial" w:hint="eastAsia"/>
          <w:sz w:val="24"/>
        </w:rPr>
        <w:t>银行</w:t>
      </w:r>
      <w:r>
        <w:rPr>
          <w:rFonts w:ascii="宋体" w:hAnsi="宋体" w:cs="Arial" w:hint="eastAsia"/>
          <w:sz w:val="24"/>
        </w:rPr>
        <w:t>账户进行本基金业务以外的活动。</w:t>
      </w:r>
    </w:p>
    <w:p w14:paraId="50D34949" w14:textId="77777777" w:rsidR="00E3116F" w:rsidRDefault="00821F7A">
      <w:pPr>
        <w:adjustRightInd w:val="0"/>
        <w:snapToGrid w:val="0"/>
        <w:spacing w:line="360" w:lineRule="auto"/>
        <w:ind w:firstLine="480"/>
        <w:rPr>
          <w:rFonts w:ascii="宋体" w:hAnsi="宋体" w:cs="Arial"/>
          <w:sz w:val="24"/>
        </w:rPr>
      </w:pPr>
      <w:r>
        <w:rPr>
          <w:rFonts w:ascii="宋体" w:hAnsi="宋体" w:cs="Arial" w:hint="eastAsia"/>
          <w:sz w:val="24"/>
        </w:rPr>
        <w:t>3.基金托管资金账户的开立和管理应符合银行业监督管理机构的有关规定。</w:t>
      </w:r>
    </w:p>
    <w:p w14:paraId="6322BE00" w14:textId="77777777" w:rsidR="00E3116F" w:rsidRDefault="00821F7A">
      <w:pPr>
        <w:adjustRightInd w:val="0"/>
        <w:snapToGrid w:val="0"/>
        <w:spacing w:line="360" w:lineRule="auto"/>
        <w:ind w:firstLine="480"/>
        <w:rPr>
          <w:rFonts w:ascii="宋体" w:hAnsi="宋体" w:cs="Arial"/>
          <w:sz w:val="24"/>
        </w:rPr>
      </w:pPr>
      <w:r>
        <w:rPr>
          <w:rFonts w:ascii="宋体" w:hAnsi="宋体" w:cs="Arial" w:hint="eastAsia"/>
          <w:sz w:val="24"/>
        </w:rPr>
        <w:t>4.在符合法律法规规定的条件下，基金托管人可以通过基金托管人专用账户办理基金资产的支付。</w:t>
      </w:r>
    </w:p>
    <w:p w14:paraId="47594409" w14:textId="6E137A44" w:rsidR="00247AFC" w:rsidRDefault="00821F7A" w:rsidP="00F13072">
      <w:pPr>
        <w:spacing w:line="360" w:lineRule="auto"/>
        <w:ind w:firstLineChars="200" w:firstLine="480"/>
        <w:rPr>
          <w:rFonts w:ascii="宋体" w:hAnsi="宋体" w:cs="Arial"/>
          <w:sz w:val="24"/>
        </w:rPr>
      </w:pPr>
      <w:r>
        <w:rPr>
          <w:rFonts w:ascii="宋体" w:hAnsi="宋体" w:cs="Arial" w:hint="eastAsia"/>
          <w:sz w:val="24"/>
        </w:rPr>
        <w:t>5.基金管理人应于基金清盘后及时完成收益兑付、费用结清及其他应收应付款项资金划转，在确保后续不再发生款项进出后的10个工作日内向基金托管人发出销户申请。</w:t>
      </w:r>
    </w:p>
    <w:p w14:paraId="017E771C" w14:textId="1B54A482" w:rsidR="0027708D" w:rsidRPr="00C814CF" w:rsidRDefault="0027708D" w:rsidP="00F13072">
      <w:pPr>
        <w:spacing w:line="360" w:lineRule="auto"/>
        <w:ind w:firstLineChars="200" w:firstLine="480"/>
        <w:rPr>
          <w:rFonts w:ascii="宋体" w:hAnsi="宋体" w:cs="Arial"/>
          <w:sz w:val="24"/>
        </w:rPr>
      </w:pPr>
      <w:r>
        <w:rPr>
          <w:rFonts w:ascii="宋体" w:hAnsi="宋体" w:cs="Arial" w:hint="eastAsia"/>
          <w:sz w:val="24"/>
        </w:rPr>
        <w:t>6</w:t>
      </w:r>
      <w:r w:rsidRPr="00C814CF">
        <w:rPr>
          <w:rFonts w:ascii="宋体" w:hAnsi="宋体" w:cs="Arial" w:hint="eastAsia"/>
          <w:sz w:val="24"/>
        </w:rPr>
        <w:t>.基金管理人应指定境外托管资金账户作为境外定期存款和其他境外交易及回款的唯一结算账户。</w:t>
      </w:r>
    </w:p>
    <w:p w14:paraId="16C31F76" w14:textId="77777777" w:rsidR="00E3116F" w:rsidRDefault="00821F7A">
      <w:pPr>
        <w:adjustRightInd w:val="0"/>
        <w:snapToGrid w:val="0"/>
        <w:spacing w:line="360" w:lineRule="auto"/>
        <w:ind w:firstLine="480"/>
        <w:rPr>
          <w:rFonts w:ascii="宋体" w:hAnsi="宋体" w:cs="Arial"/>
          <w:sz w:val="24"/>
        </w:rPr>
      </w:pPr>
      <w:r>
        <w:rPr>
          <w:rFonts w:ascii="宋体" w:hAnsi="宋体" w:cs="Arial" w:hint="eastAsia"/>
          <w:sz w:val="24"/>
        </w:rPr>
        <w:t>（四）基金证券账户和结算备付金账户的开立和管理</w:t>
      </w:r>
    </w:p>
    <w:p w14:paraId="569AA26B" w14:textId="0090A02A"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1.基金托管人在中国证券登记结算有限责任公司为基金开立基金托管人与基金联名的证券账户。</w:t>
      </w:r>
      <w:r w:rsidR="0027708D" w:rsidRPr="00C814CF">
        <w:rPr>
          <w:rFonts w:ascii="宋体" w:hAnsi="宋体" w:cs="Arial" w:hint="eastAsia"/>
          <w:sz w:val="24"/>
        </w:rPr>
        <w:t>基金托管人可委托境外托管人在拟投资的境外市场按市场规则或惯例开立境外证券账户。</w:t>
      </w:r>
    </w:p>
    <w:p w14:paraId="0555D7B0" w14:textId="5B6AB9A6"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2.基金证券账户的开立和使用，仅限于满足开展本基金业务的需要。基金托管人</w:t>
      </w:r>
      <w:r w:rsidR="00247AFC">
        <w:rPr>
          <w:rFonts w:ascii="宋体" w:hAnsi="宋体" w:cs="Arial" w:hint="eastAsia"/>
          <w:sz w:val="24"/>
        </w:rPr>
        <w:t>及其</w:t>
      </w:r>
      <w:r w:rsidR="00247AFC" w:rsidRPr="00F13072">
        <w:rPr>
          <w:rFonts w:ascii="宋体" w:hAnsi="宋体" w:cs="Arial" w:hint="eastAsia"/>
          <w:sz w:val="24"/>
        </w:rPr>
        <w:t>境外托管人</w:t>
      </w:r>
      <w:r>
        <w:rPr>
          <w:rFonts w:ascii="宋体" w:hAnsi="宋体" w:cs="Arial" w:hint="eastAsia"/>
          <w:sz w:val="24"/>
        </w:rPr>
        <w:t>和基金管理人不得出借或未经对方同意擅自转让基金的任何证券账户，亦不得使用基金的任何</w:t>
      </w:r>
      <w:r w:rsidR="005F5DAC">
        <w:rPr>
          <w:rFonts w:ascii="宋体" w:hAnsi="宋体" w:cs="Arial" w:hint="eastAsia"/>
          <w:sz w:val="24"/>
        </w:rPr>
        <w:t>证券</w:t>
      </w:r>
      <w:r>
        <w:rPr>
          <w:rFonts w:ascii="宋体" w:hAnsi="宋体" w:cs="Arial" w:hint="eastAsia"/>
          <w:sz w:val="24"/>
        </w:rPr>
        <w:t>账户进行本基金业务以外的活动。</w:t>
      </w:r>
    </w:p>
    <w:p w14:paraId="4940353B"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lastRenderedPageBreak/>
        <w:t>3.基金证券账户的开立和证券账户卡的保管由基金托管人负责，账户资产的管理和运用由基金管理人负责。</w:t>
      </w:r>
    </w:p>
    <w:p w14:paraId="3F46FE69"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证券账户开户费由基金管理人先行垫付，待基金启始运营后，基金管理人可向基金托管人发送划款指令，将代垫开户费从本基金托管资金账户中扣还基金管理人。</w:t>
      </w:r>
    </w:p>
    <w:p w14:paraId="219AE427"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14:paraId="4E2F761F"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5.账户注销时，在遵守中国证券登记结算有限责任公司的相关规定下，由管理人和托管人协商确认主要办理人。账户注销期间，主要办理人如需另一方提供配合的，另一方应予以配合。</w:t>
      </w:r>
    </w:p>
    <w:p w14:paraId="4E3FFEA7"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6.若中国证监会或其他监管机构在本托管协议订立日之后允许基金从事其他投资品种的投资业务，涉及相关账户的开立、使用的，若无相关规定，则基金托管人比照上述关于账户开立、使用的规定执行。</w:t>
      </w:r>
    </w:p>
    <w:p w14:paraId="38A615FE"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（五）银行间账户的开设和管理</w:t>
      </w:r>
    </w:p>
    <w:p w14:paraId="56A6924E"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和资金结算专户，并代表基金进行银行间市场债券的结算。</w:t>
      </w:r>
    </w:p>
    <w:p w14:paraId="3D56BDF0" w14:textId="77777777" w:rsidR="00963C77" w:rsidRPr="00C814CF" w:rsidRDefault="00963C77" w:rsidP="00963C77">
      <w:pPr>
        <w:adjustRightInd w:val="0"/>
        <w:snapToGrid w:val="0"/>
        <w:spacing w:line="360" w:lineRule="auto"/>
        <w:ind w:firstLineChars="200" w:firstLine="480"/>
        <w:rPr>
          <w:rFonts w:ascii="宋体" w:hAnsi="宋体" w:cs="Arial"/>
          <w:sz w:val="24"/>
        </w:rPr>
      </w:pPr>
      <w:r w:rsidRPr="00C814CF">
        <w:rPr>
          <w:rFonts w:ascii="宋体" w:hAnsi="宋体" w:cs="Arial" w:hint="eastAsia"/>
          <w:sz w:val="24"/>
        </w:rPr>
        <w:t>（六）期货账户的开立和管理</w:t>
      </w:r>
    </w:p>
    <w:p w14:paraId="43C172AF" w14:textId="77777777" w:rsidR="00963C77" w:rsidRPr="00C814CF" w:rsidRDefault="00963C77" w:rsidP="00963C77">
      <w:pPr>
        <w:adjustRightInd w:val="0"/>
        <w:snapToGrid w:val="0"/>
        <w:spacing w:line="360" w:lineRule="auto"/>
        <w:ind w:firstLineChars="200" w:firstLine="480"/>
        <w:rPr>
          <w:rFonts w:ascii="宋体" w:hAnsi="宋体" w:cs="Arial"/>
          <w:sz w:val="24"/>
        </w:rPr>
      </w:pPr>
      <w:r w:rsidRPr="00C814CF">
        <w:rPr>
          <w:rFonts w:ascii="宋体" w:hAnsi="宋体" w:cs="Arial" w:hint="eastAsia"/>
          <w:sz w:val="24"/>
        </w:rPr>
        <w:t>由基金管理人代表基金与期货经纪商订立期货合同，基金管理人应在其经纪商处以基金名义开立期货账户，并及时将相关的账户信息发送基金托管人。</w:t>
      </w:r>
    </w:p>
    <w:p w14:paraId="6F597CE3" w14:textId="77777777" w:rsidR="00963C77" w:rsidRPr="00C814CF" w:rsidRDefault="00963C77" w:rsidP="00963C77">
      <w:pPr>
        <w:adjustRightInd w:val="0"/>
        <w:snapToGrid w:val="0"/>
        <w:spacing w:line="360" w:lineRule="auto"/>
        <w:ind w:firstLineChars="200" w:firstLine="480"/>
        <w:rPr>
          <w:rFonts w:ascii="宋体" w:hAnsi="宋体" w:cs="Arial"/>
          <w:sz w:val="24"/>
        </w:rPr>
      </w:pPr>
      <w:r w:rsidRPr="00C814CF">
        <w:rPr>
          <w:rFonts w:ascii="宋体" w:hAnsi="宋体" w:cs="Arial" w:hint="eastAsia"/>
          <w:sz w:val="24"/>
        </w:rPr>
        <w:t>基金托管人和其境外托管人不承担与期货投资相关资产（包括但不限于期货合约、保证金）的保管责任。基金管理人应在约定的截止时间之前向基金托管人发送经基金管理人确认的期货经纪商报告，包括期货交易明细、保证金余额等期货数据。基金管理人也可为基金托管人开通权限，提供数据查询功能。基金托管人根据基金管理人提供查询的数据或按照基金管理人指定的查询途径取得的数据进行估值和核算，不承担核实该数据的责任。</w:t>
      </w:r>
    </w:p>
    <w:p w14:paraId="5718FE15" w14:textId="77777777" w:rsidR="00963C77" w:rsidRPr="00C814CF" w:rsidRDefault="00963C77" w:rsidP="00963C77">
      <w:pPr>
        <w:adjustRightInd w:val="0"/>
        <w:snapToGrid w:val="0"/>
        <w:spacing w:line="360" w:lineRule="auto"/>
        <w:ind w:firstLineChars="200" w:firstLine="480"/>
        <w:rPr>
          <w:rFonts w:ascii="宋体" w:hAnsi="宋体" w:cs="Arial"/>
          <w:sz w:val="24"/>
        </w:rPr>
      </w:pPr>
      <w:r w:rsidRPr="00C814CF">
        <w:rPr>
          <w:rFonts w:ascii="宋体" w:hAnsi="宋体" w:cs="Arial" w:hint="eastAsia"/>
          <w:sz w:val="24"/>
        </w:rPr>
        <w:lastRenderedPageBreak/>
        <w:t>（七）远期投资账户的开立和管理</w:t>
      </w:r>
    </w:p>
    <w:p w14:paraId="74D861F0" w14:textId="77777777" w:rsidR="00963C77" w:rsidRPr="00C814CF" w:rsidRDefault="00963C77" w:rsidP="00963C77">
      <w:pPr>
        <w:adjustRightInd w:val="0"/>
        <w:snapToGrid w:val="0"/>
        <w:spacing w:line="360" w:lineRule="auto"/>
        <w:ind w:firstLineChars="200" w:firstLine="480"/>
        <w:rPr>
          <w:rFonts w:ascii="宋体" w:hAnsi="宋体" w:cs="Arial"/>
          <w:sz w:val="24"/>
        </w:rPr>
      </w:pPr>
      <w:r w:rsidRPr="00C814CF">
        <w:rPr>
          <w:rFonts w:ascii="宋体" w:hAnsi="宋体" w:cs="Arial" w:hint="eastAsia"/>
          <w:sz w:val="24"/>
        </w:rPr>
        <w:t>由基金管理人以基金名义在交易对手处开立保证金账户，并及时将相关账户的信息发送基金托管人。</w:t>
      </w:r>
    </w:p>
    <w:p w14:paraId="2C322D20" w14:textId="77777777" w:rsidR="00963C77" w:rsidRPr="00C814CF" w:rsidRDefault="00963C77" w:rsidP="00963C77">
      <w:pPr>
        <w:adjustRightInd w:val="0"/>
        <w:snapToGrid w:val="0"/>
        <w:spacing w:line="360" w:lineRule="auto"/>
        <w:ind w:firstLineChars="200" w:firstLine="480"/>
        <w:rPr>
          <w:rFonts w:ascii="宋体" w:hAnsi="宋体" w:cs="Arial"/>
          <w:sz w:val="24"/>
        </w:rPr>
      </w:pPr>
      <w:r w:rsidRPr="00C814CF">
        <w:rPr>
          <w:rFonts w:ascii="宋体" w:hAnsi="宋体" w:cs="Arial" w:hint="eastAsia"/>
          <w:sz w:val="24"/>
        </w:rPr>
        <w:t>基金托管人和其境外托管人不承担与远期投资相关资产（包括但不限于远期合约、保证金）的保管责任。基金管理人或期货经纪商应在约定的截止时间之前向基金托管人发送远期交易数据，包括交易明细、保证金余额等。基金管理人也可为托管人开通权限，提供数据查询功能。基金托管人根据基金管理人或期货经纪商提供的数据或按照基金管理人指定的查询途径取得的数据进行估值和核算，不承担核实该数据的责任。</w:t>
      </w:r>
    </w:p>
    <w:p w14:paraId="03F3B58D" w14:textId="71E1694A" w:rsidR="00963C77" w:rsidRPr="00C814CF" w:rsidRDefault="00963C77" w:rsidP="00963C77">
      <w:pPr>
        <w:adjustRightInd w:val="0"/>
        <w:snapToGrid w:val="0"/>
        <w:spacing w:line="360" w:lineRule="auto"/>
        <w:ind w:firstLineChars="200" w:firstLine="480"/>
        <w:rPr>
          <w:rFonts w:ascii="宋体" w:hAnsi="宋体" w:cs="Arial"/>
          <w:sz w:val="24"/>
        </w:rPr>
      </w:pPr>
      <w:r w:rsidRPr="00C814CF">
        <w:rPr>
          <w:rFonts w:ascii="宋体" w:hAnsi="宋体" w:cs="Arial" w:hint="eastAsia"/>
          <w:sz w:val="24"/>
        </w:rPr>
        <w:t>（八）基金管理人投资境外场外基金/境外定期存款，需优先选择次托管行开户平台、服务功能完成代开户。</w:t>
      </w:r>
    </w:p>
    <w:p w14:paraId="37888BA9" w14:textId="77777777" w:rsidR="00963C77" w:rsidRPr="00C814CF" w:rsidRDefault="00963C77" w:rsidP="00963C77">
      <w:pPr>
        <w:adjustRightInd w:val="0"/>
        <w:snapToGrid w:val="0"/>
        <w:spacing w:line="360" w:lineRule="auto"/>
        <w:ind w:firstLineChars="200" w:firstLine="480"/>
        <w:rPr>
          <w:rFonts w:ascii="宋体" w:hAnsi="宋体" w:cs="Arial"/>
          <w:sz w:val="24"/>
        </w:rPr>
      </w:pPr>
      <w:r w:rsidRPr="00C814CF">
        <w:rPr>
          <w:rFonts w:ascii="宋体" w:hAnsi="宋体" w:cs="Arial" w:hint="eastAsia"/>
          <w:sz w:val="24"/>
        </w:rPr>
        <w:t>基金管理人投资境外定期存款时应：</w:t>
      </w:r>
    </w:p>
    <w:p w14:paraId="0C629708" w14:textId="77777777" w:rsidR="00963C77" w:rsidRPr="00C814CF" w:rsidRDefault="00963C77" w:rsidP="00963C77">
      <w:pPr>
        <w:adjustRightInd w:val="0"/>
        <w:snapToGrid w:val="0"/>
        <w:spacing w:line="360" w:lineRule="auto"/>
        <w:ind w:firstLineChars="200" w:firstLine="480"/>
        <w:rPr>
          <w:rFonts w:ascii="宋体" w:hAnsi="宋体" w:cs="Arial"/>
          <w:sz w:val="24"/>
        </w:rPr>
      </w:pPr>
      <w:r w:rsidRPr="00C814CF">
        <w:rPr>
          <w:rFonts w:ascii="宋体" w:hAnsi="宋体" w:cs="Arial" w:hint="eastAsia"/>
          <w:sz w:val="24"/>
        </w:rPr>
        <w:t>1.将基金托管人为托管资产开立的托管资金账户指定为境外定期存款投资本息到期归还或提前支取的所有款项之唯一回款账户，变更存款账户和本息回款账户等关键信息，必须经基金托管人书面同意；</w:t>
      </w:r>
    </w:p>
    <w:p w14:paraId="3D48D012" w14:textId="77777777" w:rsidR="00963C77" w:rsidRPr="00C814CF" w:rsidRDefault="00963C77" w:rsidP="00963C77">
      <w:pPr>
        <w:adjustRightInd w:val="0"/>
        <w:snapToGrid w:val="0"/>
        <w:spacing w:line="360" w:lineRule="auto"/>
        <w:ind w:firstLineChars="200" w:firstLine="480"/>
        <w:rPr>
          <w:rFonts w:ascii="宋体" w:hAnsi="宋体" w:cs="Arial"/>
          <w:sz w:val="24"/>
        </w:rPr>
      </w:pPr>
      <w:r w:rsidRPr="00C814CF">
        <w:rPr>
          <w:rFonts w:ascii="宋体" w:hAnsi="宋体" w:cs="Arial" w:hint="eastAsia"/>
          <w:sz w:val="24"/>
        </w:rPr>
        <w:t>2.基金管理人承诺定期存款不得被质押，不得用于担保、背书和转让。未经基金托管人书面同意，基金管理人不得单方面实施对存款进行更名、转让、挂失、质押、担保、撤销、变更印鉴及回款账户信息等可能导致财产转移的操作；</w:t>
      </w:r>
    </w:p>
    <w:p w14:paraId="3DCA894D" w14:textId="2D6304ED" w:rsidR="00963C77" w:rsidRDefault="00963C77" w:rsidP="00963C77">
      <w:pPr>
        <w:adjustRightInd w:val="0"/>
        <w:snapToGrid w:val="0"/>
        <w:spacing w:line="360" w:lineRule="auto"/>
        <w:ind w:firstLineChars="200" w:firstLine="480"/>
        <w:rPr>
          <w:rFonts w:ascii="彩虹粗仿宋" w:eastAsia="彩虹粗仿宋" w:hAnsi="宋体" w:cs="Arial"/>
          <w:sz w:val="24"/>
        </w:rPr>
      </w:pPr>
      <w:r w:rsidRPr="00C814CF">
        <w:rPr>
          <w:rFonts w:ascii="宋体" w:hAnsi="宋体" w:cs="Arial" w:hint="eastAsia"/>
          <w:sz w:val="24"/>
        </w:rPr>
        <w:t>3.因基金管理人违反上述规定导致的财产损失，基金托管人不承担责任。</w:t>
      </w:r>
    </w:p>
    <w:p w14:paraId="0956E527" w14:textId="475D0961"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w:t>
      </w:r>
      <w:r w:rsidR="00963C77">
        <w:rPr>
          <w:rFonts w:ascii="宋体" w:hAnsi="宋体" w:cs="Arial" w:hint="eastAsia"/>
          <w:sz w:val="24"/>
        </w:rPr>
        <w:t>九</w:t>
      </w:r>
      <w:r>
        <w:rPr>
          <w:rFonts w:ascii="宋体" w:hAnsi="宋体" w:cs="Arial" w:hint="eastAsia"/>
          <w:sz w:val="24"/>
        </w:rPr>
        <w:t>）其他账户的开立和管理</w:t>
      </w:r>
    </w:p>
    <w:p w14:paraId="06B54FCD" w14:textId="573DA8D4" w:rsidR="00E3116F" w:rsidRPr="00C814CF" w:rsidRDefault="00821F7A" w:rsidP="00C814CF">
      <w:pPr>
        <w:pStyle w:val="af2"/>
        <w:numPr>
          <w:ilvl w:val="0"/>
          <w:numId w:val="1"/>
        </w:numPr>
        <w:adjustRightInd w:val="0"/>
        <w:snapToGrid w:val="0"/>
        <w:spacing w:line="360" w:lineRule="auto"/>
        <w:ind w:left="0" w:firstLine="480"/>
        <w:rPr>
          <w:rFonts w:ascii="宋体" w:hAnsi="宋体" w:cs="Arial"/>
          <w:sz w:val="24"/>
        </w:rPr>
      </w:pPr>
      <w:r w:rsidRPr="00C814CF">
        <w:rPr>
          <w:rFonts w:ascii="宋体" w:hAnsi="宋体" w:cs="Arial" w:hint="eastAsia"/>
          <w:sz w:val="24"/>
        </w:rPr>
        <w:t>在本托管协议订立日之后，本基金被允许从事符合法律法规规定和《基金合同》约定的其他投资品种的投资业务时，如果涉及相关账户的开设和使用，由基金管理人协助基金托管人</w:t>
      </w:r>
      <w:r w:rsidR="00247AFC" w:rsidRPr="00C814CF">
        <w:rPr>
          <w:rFonts w:ascii="宋体" w:hAnsi="宋体" w:cs="Arial" w:hint="eastAsia"/>
          <w:sz w:val="24"/>
        </w:rPr>
        <w:t>及其境外托管人</w:t>
      </w:r>
      <w:r w:rsidRPr="00C814CF">
        <w:rPr>
          <w:rFonts w:ascii="宋体" w:hAnsi="宋体" w:cs="Arial" w:hint="eastAsia"/>
          <w:sz w:val="24"/>
        </w:rPr>
        <w:t>根据有关法律法规的规定和《基金合同》的约定，开立有关账户。该账户按有关规则使用并管理。</w:t>
      </w:r>
    </w:p>
    <w:p w14:paraId="552EAE67" w14:textId="77777777" w:rsidR="00FC4F5D" w:rsidRPr="00C814CF" w:rsidRDefault="00FC4F5D" w:rsidP="00C814CF">
      <w:pPr>
        <w:pStyle w:val="af2"/>
        <w:adjustRightInd w:val="0"/>
        <w:snapToGrid w:val="0"/>
        <w:spacing w:line="360" w:lineRule="auto"/>
        <w:ind w:firstLine="480"/>
        <w:rPr>
          <w:rFonts w:ascii="宋体" w:hAnsi="宋体" w:cs="Arial"/>
          <w:sz w:val="24"/>
        </w:rPr>
      </w:pPr>
      <w:r w:rsidRPr="00C814CF">
        <w:rPr>
          <w:rFonts w:ascii="宋体" w:hAnsi="宋体" w:cs="Arial" w:hint="eastAsia"/>
          <w:sz w:val="24"/>
        </w:rPr>
        <w:t>基金管理人通过境外托管人办理境外投资相关账户，应委托基金托管人办理或取得基金托管人的同意，包括但不限于：境外第三方银行投资定期存款账户、境外基金账户、境外期货账户等。</w:t>
      </w:r>
    </w:p>
    <w:p w14:paraId="1D590DC9" w14:textId="7AE58B64" w:rsidR="00FC4F5D" w:rsidRPr="00C814CF" w:rsidRDefault="00FC4F5D" w:rsidP="00C814CF">
      <w:pPr>
        <w:pStyle w:val="af2"/>
        <w:adjustRightInd w:val="0"/>
        <w:snapToGrid w:val="0"/>
        <w:spacing w:line="360" w:lineRule="auto"/>
        <w:ind w:firstLine="480"/>
        <w:rPr>
          <w:rFonts w:ascii="宋体" w:hAnsi="宋体" w:cs="Arial"/>
          <w:sz w:val="24"/>
        </w:rPr>
      </w:pPr>
      <w:r w:rsidRPr="00C814CF">
        <w:rPr>
          <w:rFonts w:ascii="宋体" w:hAnsi="宋体" w:cs="Arial" w:hint="eastAsia"/>
          <w:sz w:val="24"/>
        </w:rPr>
        <w:t>基金管理人自行办理境外投资相关账户，应提前告知基金托管人，基金托管人评估后有权拒绝办理账户业务或拒绝执行该账户相关的清算交收事宜并及时与管理人沟通，但由此产生的损失托管人不承担任何责任。</w:t>
      </w:r>
    </w:p>
    <w:p w14:paraId="05BE713E" w14:textId="77777777" w:rsidR="00E3116F" w:rsidRDefault="00821F7A" w:rsidP="00C814CF">
      <w:pPr>
        <w:adjustRightInd w:val="0"/>
        <w:snapToGrid w:val="0"/>
        <w:spacing w:line="360" w:lineRule="auto"/>
        <w:ind w:firstLineChars="200" w:firstLine="480"/>
        <w:rPr>
          <w:rFonts w:ascii="宋体" w:hAnsi="宋体" w:cs="Arial"/>
          <w:sz w:val="24"/>
        </w:rPr>
      </w:pPr>
      <w:r>
        <w:rPr>
          <w:rFonts w:ascii="宋体" w:hAnsi="宋体" w:cs="Arial" w:hint="eastAsia"/>
          <w:sz w:val="24"/>
        </w:rPr>
        <w:lastRenderedPageBreak/>
        <w:t>2.法律法规等有关规定对相关账户的开立和管理另有规定的，从其规定办理。</w:t>
      </w:r>
    </w:p>
    <w:p w14:paraId="760AFB69" w14:textId="7382A31B"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w:t>
      </w:r>
      <w:r w:rsidR="00D2253F">
        <w:rPr>
          <w:rFonts w:ascii="宋体" w:hAnsi="宋体" w:cs="Arial" w:hint="eastAsia"/>
          <w:sz w:val="24"/>
        </w:rPr>
        <w:t>十</w:t>
      </w:r>
      <w:r>
        <w:rPr>
          <w:rFonts w:ascii="宋体" w:hAnsi="宋体" w:cs="Arial" w:hint="eastAsia"/>
          <w:sz w:val="24"/>
        </w:rPr>
        <w:t>）基金财产投资的有关有价凭证等的保管</w:t>
      </w:r>
    </w:p>
    <w:p w14:paraId="1E5BEB93" w14:textId="049973EA"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基金财产投资的有关实物证券、银行存款开户证实书等有价凭证由基金托管人存放于基金托管人</w:t>
      </w:r>
      <w:r w:rsidR="001058ED">
        <w:rPr>
          <w:rFonts w:ascii="宋体" w:hAnsi="宋体" w:cs="Arial" w:hint="eastAsia"/>
          <w:sz w:val="24"/>
        </w:rPr>
        <w:t>或</w:t>
      </w:r>
      <w:r w:rsidR="00247AFC" w:rsidRPr="00F13072">
        <w:rPr>
          <w:rFonts w:ascii="宋体" w:hAnsi="宋体" w:cs="Arial" w:hint="eastAsia"/>
          <w:sz w:val="24"/>
        </w:rPr>
        <w:t>其境外托管人</w:t>
      </w:r>
      <w:r>
        <w:rPr>
          <w:rFonts w:ascii="宋体" w:hAnsi="宋体" w:cs="Arial" w:hint="eastAsia"/>
          <w:sz w:val="24"/>
        </w:rPr>
        <w:t>的保管库，也可存入法律法规有关规定允许的各类代保管库，保管凭证由基金托管人持有。实物证券、银行定期存款证实书等有价凭证的购买和转让，按基金管理人和基金托管人</w:t>
      </w:r>
      <w:r w:rsidR="00247AFC">
        <w:rPr>
          <w:rFonts w:ascii="宋体" w:hAnsi="宋体" w:cs="Arial" w:hint="eastAsia"/>
          <w:sz w:val="24"/>
        </w:rPr>
        <w:t>的</w:t>
      </w:r>
      <w:r>
        <w:rPr>
          <w:rFonts w:ascii="宋体" w:hAnsi="宋体" w:cs="Arial" w:hint="eastAsia"/>
          <w:sz w:val="24"/>
        </w:rPr>
        <w:t>约定办理。基金托管人对由基金托管人</w:t>
      </w:r>
      <w:r w:rsidR="00247AFC" w:rsidRPr="00F13072">
        <w:rPr>
          <w:rFonts w:ascii="宋体" w:hAnsi="宋体" w:cs="Arial" w:hint="eastAsia"/>
          <w:sz w:val="24"/>
        </w:rPr>
        <w:t>及其境外托管人</w:t>
      </w:r>
      <w:r>
        <w:rPr>
          <w:rFonts w:ascii="宋体" w:hAnsi="宋体" w:cs="Arial" w:hint="eastAsia"/>
          <w:sz w:val="24"/>
        </w:rPr>
        <w:t>以外机构实际有效控制或保管的资产不承担任何责任。</w:t>
      </w:r>
    </w:p>
    <w:p w14:paraId="476926C4" w14:textId="0E009A53"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w:t>
      </w:r>
      <w:r w:rsidR="00D2253F">
        <w:rPr>
          <w:rFonts w:ascii="宋体" w:hAnsi="宋体" w:cs="Arial" w:hint="eastAsia"/>
          <w:sz w:val="24"/>
        </w:rPr>
        <w:t>十一</w:t>
      </w:r>
      <w:r>
        <w:rPr>
          <w:rFonts w:ascii="宋体" w:hAnsi="宋体" w:cs="Arial" w:hint="eastAsia"/>
          <w:sz w:val="24"/>
        </w:rPr>
        <w:t>）与基金财产有关的重大合同的保管</w:t>
      </w:r>
    </w:p>
    <w:p w14:paraId="2801082B"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由基金管理人代表基金签署的、与基金有关的重大合同的原件分别由基金管理人、基金托管人保管。除本协议另有规定外，基金管理人在代表基金签署与基金有关的重大合同时应保证基金一方持有两份以上的正本，以保证基金管理人和基金托管人至少各持有一份正本的原件。基金管理人应在重大合同签署后及时将重大合同传真给基金托管人，并在三十个工作日内将正本送达基金托管人处。重大合同的保管期限不低于法律法规规定的最低期限。对于无法取得二份以上的正本的，基金管理人应向基金托管人提供加盖公章的合同传真件，未经双方协商一致，合同原件不得转移。</w:t>
      </w:r>
    </w:p>
    <w:p w14:paraId="6F3CA9DB" w14:textId="77777777" w:rsidR="00E3116F" w:rsidRDefault="00E3116F">
      <w:pPr>
        <w:spacing w:line="360" w:lineRule="auto"/>
        <w:rPr>
          <w:rFonts w:ascii="宋体" w:hAnsi="宋体"/>
          <w:sz w:val="24"/>
        </w:rPr>
      </w:pPr>
    </w:p>
    <w:p w14:paraId="054D1A4B" w14:textId="77777777" w:rsidR="00E3116F" w:rsidRDefault="00821F7A">
      <w:pPr>
        <w:pStyle w:val="2"/>
        <w:spacing w:line="360" w:lineRule="auto"/>
        <w:jc w:val="center"/>
        <w:rPr>
          <w:rFonts w:ascii="宋体" w:eastAsia="宋体" w:hAnsi="宋体"/>
          <w:sz w:val="30"/>
        </w:rPr>
      </w:pPr>
      <w:bookmarkStart w:id="50" w:name="_Toc120435785"/>
      <w:bookmarkStart w:id="51" w:name="_Toc118212952"/>
      <w:bookmarkStart w:id="52" w:name="_Toc84234389"/>
      <w:bookmarkStart w:id="53" w:name="_Toc86726441"/>
      <w:bookmarkStart w:id="54" w:name="_Toc86223244"/>
      <w:bookmarkStart w:id="55" w:name="_Toc86204790"/>
      <w:bookmarkStart w:id="56" w:name="_Toc86737931"/>
      <w:bookmarkStart w:id="57" w:name="_Toc110830494"/>
      <w:bookmarkStart w:id="58" w:name="_Toc89163370"/>
      <w:bookmarkStart w:id="59" w:name="_Toc108512360"/>
      <w:bookmarkStart w:id="60" w:name="_Toc118972650"/>
      <w:bookmarkStart w:id="61" w:name="_Toc110765662"/>
      <w:bookmarkStart w:id="62" w:name="_Toc86225293"/>
      <w:bookmarkStart w:id="63" w:name="_Toc84234436"/>
      <w:bookmarkStart w:id="64" w:name="_Toc119402712"/>
      <w:bookmarkStart w:id="65" w:name="_Toc110761798"/>
      <w:bookmarkStart w:id="66" w:name="_Toc118774805"/>
      <w:bookmarkStart w:id="67" w:name="_Toc84133787"/>
      <w:bookmarkStart w:id="68" w:name="_Toc86727357"/>
      <w:bookmarkStart w:id="69" w:name="_Toc516758900"/>
      <w:bookmarkStart w:id="70" w:name="_Toc86649724"/>
      <w:r>
        <w:rPr>
          <w:rFonts w:ascii="宋体" w:eastAsia="宋体" w:hAnsi="宋体" w:hint="eastAsia"/>
          <w:sz w:val="30"/>
        </w:rPr>
        <w:t>六、指令的发送、确认及执行</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79F659BA" w14:textId="77777777" w:rsidR="00E3116F" w:rsidRDefault="00821F7A">
      <w:pPr>
        <w:adjustRightInd w:val="0"/>
        <w:snapToGrid w:val="0"/>
        <w:spacing w:line="360" w:lineRule="auto"/>
        <w:ind w:firstLine="480"/>
        <w:rPr>
          <w:rFonts w:ascii="宋体" w:hAnsi="宋体" w:cs="Arial"/>
          <w:sz w:val="24"/>
        </w:rPr>
      </w:pPr>
      <w:r>
        <w:rPr>
          <w:rFonts w:ascii="宋体" w:hAnsi="宋体" w:cs="Arial" w:hint="eastAsia"/>
          <w:sz w:val="24"/>
        </w:rPr>
        <w:t>基金管理人在运用基金财产时向基金托管人发送资金划拨及其他款项付款指令，基金托管人执行基金管理人的指令、办理基金名下的资金往来等有关事项。</w:t>
      </w:r>
    </w:p>
    <w:p w14:paraId="7ADD3465" w14:textId="77777777" w:rsidR="00E3116F" w:rsidRDefault="00821F7A">
      <w:pPr>
        <w:adjustRightInd w:val="0"/>
        <w:snapToGrid w:val="0"/>
        <w:spacing w:line="360" w:lineRule="auto"/>
        <w:ind w:firstLine="480"/>
        <w:rPr>
          <w:rFonts w:ascii="宋体" w:hAnsi="宋体" w:cs="Arial"/>
          <w:sz w:val="24"/>
        </w:rPr>
      </w:pPr>
      <w:r>
        <w:rPr>
          <w:rFonts w:ascii="宋体" w:hAnsi="宋体" w:cs="Arial" w:hint="eastAsia"/>
          <w:sz w:val="24"/>
        </w:rPr>
        <w:t>（一）基金管理人对发送指令人员的书面授权</w:t>
      </w:r>
    </w:p>
    <w:p w14:paraId="13300267" w14:textId="77777777" w:rsidR="00E3116F" w:rsidRDefault="00821F7A">
      <w:pPr>
        <w:adjustRightInd w:val="0"/>
        <w:snapToGrid w:val="0"/>
        <w:spacing w:line="360" w:lineRule="auto"/>
        <w:ind w:firstLine="480"/>
        <w:rPr>
          <w:rFonts w:ascii="宋体" w:hAnsi="宋体" w:cs="Arial"/>
          <w:sz w:val="24"/>
        </w:rPr>
      </w:pPr>
      <w:r>
        <w:rPr>
          <w:rFonts w:ascii="宋体" w:hAnsi="宋体" w:cs="Arial" w:hint="eastAsia"/>
          <w:sz w:val="24"/>
        </w:rPr>
        <w:t>1.基金管理人应指定专人向基金托管人发送指令。</w:t>
      </w:r>
    </w:p>
    <w:p w14:paraId="33D8D8B3" w14:textId="77777777" w:rsidR="00E3116F" w:rsidRDefault="00821F7A">
      <w:pPr>
        <w:adjustRightInd w:val="0"/>
        <w:snapToGrid w:val="0"/>
        <w:spacing w:line="360" w:lineRule="auto"/>
        <w:ind w:firstLine="480"/>
        <w:rPr>
          <w:rFonts w:ascii="宋体" w:hAnsi="宋体" w:cs="Arial"/>
          <w:sz w:val="24"/>
        </w:rPr>
      </w:pPr>
      <w:r>
        <w:rPr>
          <w:rFonts w:ascii="宋体" w:hAnsi="宋体" w:cs="Arial" w:hint="eastAsia"/>
          <w:sz w:val="24"/>
        </w:rPr>
        <w:t>2.基金管理人应向基金托管人提供书面授权文件原件，内容包括被授权人名单、预留印鉴及被授权人签章样本，授权文件应注明被授权人相应的权限，</w:t>
      </w:r>
      <w:r>
        <w:rPr>
          <w:rFonts w:ascii="宋体" w:hAnsi="宋体" w:cs="Arial"/>
          <w:sz w:val="24"/>
        </w:rPr>
        <w:t>并加盖单位公章</w:t>
      </w:r>
      <w:r>
        <w:rPr>
          <w:rFonts w:ascii="宋体" w:hAnsi="宋体" w:cs="Arial" w:hint="eastAsia"/>
          <w:sz w:val="24"/>
        </w:rPr>
        <w:t>。</w:t>
      </w:r>
    </w:p>
    <w:p w14:paraId="5A09E8B7" w14:textId="77777777" w:rsidR="00E3116F" w:rsidRDefault="00821F7A">
      <w:pPr>
        <w:adjustRightInd w:val="0"/>
        <w:snapToGrid w:val="0"/>
        <w:spacing w:line="360" w:lineRule="auto"/>
        <w:ind w:firstLine="480"/>
        <w:rPr>
          <w:rFonts w:ascii="宋体" w:hAnsi="宋体" w:cs="Arial"/>
          <w:sz w:val="24"/>
        </w:rPr>
      </w:pPr>
      <w:r>
        <w:rPr>
          <w:rFonts w:ascii="宋体"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前述时间，则以基金托管人收到授权文件并经电话确认</w:t>
      </w:r>
      <w:r>
        <w:rPr>
          <w:rFonts w:ascii="宋体" w:hAnsi="宋体" w:cs="Arial" w:hint="eastAsia"/>
          <w:sz w:val="24"/>
        </w:rPr>
        <w:lastRenderedPageBreak/>
        <w:t>的时点为授权文件的生效时间。</w:t>
      </w:r>
    </w:p>
    <w:p w14:paraId="4931ABFE" w14:textId="77777777" w:rsidR="00E3116F" w:rsidRDefault="00821F7A">
      <w:pPr>
        <w:adjustRightInd w:val="0"/>
        <w:snapToGrid w:val="0"/>
        <w:spacing w:line="360" w:lineRule="auto"/>
        <w:ind w:firstLine="480"/>
        <w:rPr>
          <w:rFonts w:ascii="宋体" w:hAnsi="宋体" w:cs="Arial"/>
          <w:sz w:val="24"/>
        </w:rPr>
      </w:pPr>
      <w:r>
        <w:rPr>
          <w:rFonts w:ascii="宋体" w:hAnsi="宋体" w:cs="Arial" w:hint="eastAsia"/>
          <w:sz w:val="24"/>
        </w:rPr>
        <w:t>4.基金管理人和基金托管人对授权文件负有保密义务，其内容不得向被授权人及相关操作人员以外的任何人泄露。但法律法规规定或有权机关要求的除外。</w:t>
      </w:r>
    </w:p>
    <w:p w14:paraId="119FFE40" w14:textId="77777777" w:rsidR="00E3116F" w:rsidRDefault="00821F7A">
      <w:pPr>
        <w:adjustRightInd w:val="0"/>
        <w:snapToGrid w:val="0"/>
        <w:spacing w:line="360" w:lineRule="auto"/>
        <w:ind w:firstLine="480"/>
        <w:rPr>
          <w:rFonts w:ascii="宋体" w:hAnsi="宋体" w:cs="Arial"/>
          <w:sz w:val="24"/>
        </w:rPr>
      </w:pPr>
      <w:r>
        <w:rPr>
          <w:rFonts w:ascii="宋体" w:hAnsi="宋体" w:cs="Arial" w:hint="eastAsia"/>
          <w:sz w:val="24"/>
        </w:rPr>
        <w:t>（二）指令的内容</w:t>
      </w:r>
    </w:p>
    <w:p w14:paraId="41E9A1F6" w14:textId="77777777" w:rsidR="00E3116F" w:rsidRDefault="00821F7A">
      <w:pPr>
        <w:adjustRightInd w:val="0"/>
        <w:snapToGrid w:val="0"/>
        <w:spacing w:line="360" w:lineRule="auto"/>
        <w:ind w:firstLine="480"/>
        <w:rPr>
          <w:rFonts w:ascii="宋体" w:hAnsi="宋体" w:cs="Arial"/>
          <w:sz w:val="24"/>
        </w:rPr>
      </w:pPr>
      <w:r>
        <w:rPr>
          <w:rFonts w:ascii="宋体" w:hAnsi="宋体" w:cs="Arial" w:hint="eastAsia"/>
          <w:sz w:val="24"/>
        </w:rPr>
        <w:t>1.指令包括付款指令以及其他资金划拨指令等。</w:t>
      </w:r>
    </w:p>
    <w:p w14:paraId="3AF7237F" w14:textId="77777777" w:rsidR="00E3116F" w:rsidRDefault="00821F7A">
      <w:pPr>
        <w:adjustRightInd w:val="0"/>
        <w:snapToGrid w:val="0"/>
        <w:spacing w:line="360" w:lineRule="auto"/>
        <w:ind w:firstLine="480"/>
        <w:rPr>
          <w:rFonts w:ascii="宋体" w:hAnsi="宋体" w:cs="Arial"/>
          <w:sz w:val="24"/>
        </w:rPr>
      </w:pPr>
      <w:r>
        <w:rPr>
          <w:rFonts w:ascii="宋体" w:hAnsi="宋体" w:cs="Arial" w:hint="eastAsia"/>
          <w:sz w:val="24"/>
        </w:rPr>
        <w:t>2.基金管理人发给基金托管人的指令应写明款项事由、支付时间、到账时间、金额、收付款账户等，加盖预留印鉴并由被授权人签章。</w:t>
      </w:r>
    </w:p>
    <w:p w14:paraId="10AC6DDF" w14:textId="77777777" w:rsidR="00E3116F" w:rsidRDefault="00821F7A">
      <w:pPr>
        <w:adjustRightInd w:val="0"/>
        <w:snapToGrid w:val="0"/>
        <w:spacing w:line="360" w:lineRule="auto"/>
        <w:ind w:firstLine="480"/>
        <w:rPr>
          <w:rFonts w:ascii="宋体" w:hAnsi="宋体" w:cs="Arial"/>
          <w:sz w:val="24"/>
        </w:rPr>
      </w:pPr>
      <w:r>
        <w:rPr>
          <w:rFonts w:ascii="宋体" w:hAnsi="宋体" w:cs="Arial" w:hint="eastAsia"/>
          <w:sz w:val="24"/>
        </w:rPr>
        <w:t>（三）指令的发送、确认及执行的时间和程序</w:t>
      </w:r>
    </w:p>
    <w:p w14:paraId="41FFCB6B" w14:textId="77777777" w:rsidR="00E3116F" w:rsidRDefault="00821F7A">
      <w:pPr>
        <w:adjustRightInd w:val="0"/>
        <w:snapToGrid w:val="0"/>
        <w:spacing w:line="360" w:lineRule="auto"/>
        <w:ind w:firstLine="480"/>
        <w:rPr>
          <w:rFonts w:ascii="宋体" w:hAnsi="宋体" w:cs="Arial"/>
          <w:sz w:val="24"/>
        </w:rPr>
      </w:pPr>
      <w:r>
        <w:rPr>
          <w:rFonts w:ascii="宋体" w:hAnsi="宋体" w:cs="Arial" w:hint="eastAsia"/>
          <w:sz w:val="24"/>
        </w:rPr>
        <w:t>1.指令的发送</w:t>
      </w:r>
    </w:p>
    <w:p w14:paraId="0D2BA5AF" w14:textId="42746856" w:rsidR="00E3116F" w:rsidRDefault="00821F7A">
      <w:pPr>
        <w:adjustRightInd w:val="0"/>
        <w:snapToGrid w:val="0"/>
        <w:spacing w:line="360" w:lineRule="auto"/>
        <w:ind w:firstLine="480"/>
        <w:rPr>
          <w:rFonts w:ascii="宋体" w:hAnsi="宋体" w:cs="Arial"/>
          <w:sz w:val="24"/>
        </w:rPr>
      </w:pPr>
      <w:r>
        <w:rPr>
          <w:rFonts w:ascii="宋体" w:hAnsi="宋体" w:cs="Arial" w:hint="eastAsia"/>
          <w:sz w:val="24"/>
        </w:rPr>
        <w:t>基金管理人发送指令应采用</w:t>
      </w:r>
      <w:r w:rsidR="0041392B" w:rsidRPr="0041392B">
        <w:rPr>
          <w:rFonts w:ascii="宋体" w:hAnsi="宋体" w:cs="Arial" w:hint="eastAsia"/>
          <w:sz w:val="24"/>
        </w:rPr>
        <w:t>SWIFT、境外网银、</w:t>
      </w:r>
      <w:r>
        <w:rPr>
          <w:rFonts w:ascii="宋体" w:hAnsi="宋体" w:cs="Arial" w:hint="eastAsia"/>
          <w:sz w:val="24"/>
        </w:rPr>
        <w:t>传真方式或双方协商一致的其他方式。</w:t>
      </w:r>
    </w:p>
    <w:p w14:paraId="6CD7CEFA" w14:textId="77777777" w:rsidR="00E3116F" w:rsidRDefault="00821F7A">
      <w:pPr>
        <w:adjustRightInd w:val="0"/>
        <w:snapToGrid w:val="0"/>
        <w:spacing w:line="360" w:lineRule="auto"/>
        <w:ind w:firstLine="480"/>
        <w:rPr>
          <w:rFonts w:ascii="宋体" w:hAnsi="宋体" w:cs="Arial"/>
          <w:sz w:val="24"/>
        </w:rPr>
      </w:pPr>
      <w:r>
        <w:rPr>
          <w:rFonts w:ascii="宋体"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14:paraId="2E2C2EE7" w14:textId="51590E9D" w:rsidR="00E3116F" w:rsidRDefault="00821F7A">
      <w:pPr>
        <w:adjustRightInd w:val="0"/>
        <w:snapToGrid w:val="0"/>
        <w:spacing w:line="360" w:lineRule="auto"/>
        <w:ind w:firstLine="480"/>
        <w:rPr>
          <w:rFonts w:ascii="宋体" w:hAnsi="宋体" w:cs="Arial"/>
          <w:sz w:val="24"/>
        </w:rPr>
      </w:pPr>
      <w:r>
        <w:rPr>
          <w:rFonts w:ascii="宋体" w:hAnsi="宋体" w:cs="Arial" w:hint="eastAsia"/>
          <w:sz w:val="24"/>
        </w:rPr>
        <w:t>指令发出后，基金管理人应及时以电话方式向基金托管人确认。</w:t>
      </w:r>
      <w:r w:rsidR="00717BD2" w:rsidRPr="00C814CF">
        <w:rPr>
          <w:rFonts w:ascii="宋体" w:hAnsi="宋体" w:cs="Arial" w:hint="eastAsia"/>
          <w:sz w:val="24"/>
        </w:rPr>
        <w:t>基金管理人应确保其发送指令、数据的真实、准确、完整。</w:t>
      </w:r>
    </w:p>
    <w:p w14:paraId="701024EA" w14:textId="5D9B50C0" w:rsidR="00E3116F" w:rsidRDefault="00821F7A">
      <w:pPr>
        <w:adjustRightInd w:val="0"/>
        <w:snapToGrid w:val="0"/>
        <w:spacing w:line="360" w:lineRule="auto"/>
        <w:ind w:firstLine="480"/>
        <w:rPr>
          <w:rFonts w:ascii="宋体" w:hAnsi="宋体"/>
          <w:sz w:val="24"/>
        </w:rPr>
      </w:pPr>
      <w:r>
        <w:rPr>
          <w:rFonts w:ascii="宋体" w:hAnsi="宋体" w:cs="Arial" w:hint="eastAsia"/>
          <w:sz w:val="24"/>
        </w:rPr>
        <w:t>基金管理人应在银行间交易成交后，及时将通知单、相关文件及划款指令加盖印章后发至基金托管人并电话确认，由基金托管人完成后台交易匹配和资金交收事宜。</w:t>
      </w:r>
      <w:r>
        <w:rPr>
          <w:rFonts w:ascii="宋体" w:hAnsi="宋体" w:hint="eastAsia"/>
          <w:sz w:val="24"/>
        </w:rPr>
        <w:t>如果银行间结算系统已经生成的交易需要取消或终止，基金管理人要书面通知基金托管人。</w:t>
      </w:r>
    </w:p>
    <w:p w14:paraId="36650C69" w14:textId="77777777" w:rsidR="00E3116F" w:rsidRDefault="00821F7A">
      <w:pPr>
        <w:adjustRightInd w:val="0"/>
        <w:snapToGrid w:val="0"/>
        <w:spacing w:line="360" w:lineRule="auto"/>
        <w:ind w:firstLine="480"/>
        <w:rPr>
          <w:rFonts w:ascii="宋体" w:hAnsi="宋体" w:cs="Arial"/>
          <w:sz w:val="24"/>
        </w:rPr>
      </w:pPr>
      <w:r>
        <w:rPr>
          <w:rFonts w:ascii="宋体" w:hAnsi="宋体" w:cs="Arial" w:hint="eastAsia"/>
          <w:sz w:val="24"/>
        </w:rPr>
        <w:t>2.指令的确认</w:t>
      </w:r>
    </w:p>
    <w:p w14:paraId="5D99E518" w14:textId="77777777" w:rsidR="00E3116F" w:rsidRDefault="00821F7A">
      <w:pPr>
        <w:adjustRightInd w:val="0"/>
        <w:snapToGrid w:val="0"/>
        <w:spacing w:line="360" w:lineRule="auto"/>
        <w:ind w:firstLine="480"/>
        <w:rPr>
          <w:rFonts w:ascii="宋体" w:hAnsi="宋体" w:cs="Arial"/>
          <w:sz w:val="24"/>
        </w:rPr>
      </w:pPr>
      <w:r>
        <w:rPr>
          <w:rFonts w:ascii="宋体"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章和印鉴与授权文件进行表面真实性及权限范围核对，复核无误后应在规定期限内执行，不得延误，如有疑问必须及时通知基金管理人。</w:t>
      </w:r>
    </w:p>
    <w:p w14:paraId="73F6B876" w14:textId="77777777" w:rsidR="00E3116F" w:rsidRDefault="00821F7A">
      <w:pPr>
        <w:adjustRightInd w:val="0"/>
        <w:snapToGrid w:val="0"/>
        <w:spacing w:line="360" w:lineRule="auto"/>
        <w:ind w:firstLine="480"/>
        <w:rPr>
          <w:rFonts w:ascii="宋体" w:hAnsi="宋体" w:cs="Arial"/>
          <w:sz w:val="24"/>
        </w:rPr>
      </w:pPr>
      <w:r>
        <w:rPr>
          <w:rFonts w:ascii="宋体" w:hAnsi="宋体" w:cs="Arial" w:hint="eastAsia"/>
          <w:sz w:val="24"/>
        </w:rPr>
        <w:t>3.指令的时间和执行</w:t>
      </w:r>
    </w:p>
    <w:p w14:paraId="5B0F728A" w14:textId="07E66B73" w:rsidR="00E3116F" w:rsidRDefault="00821F7A">
      <w:pPr>
        <w:pStyle w:val="a6"/>
        <w:spacing w:line="360" w:lineRule="auto"/>
        <w:ind w:firstLineChars="0"/>
        <w:rPr>
          <w:rFonts w:ascii="宋体" w:eastAsia="宋体" w:hAnsi="宋体" w:cs="Arial"/>
        </w:rPr>
      </w:pPr>
      <w:r>
        <w:rPr>
          <w:rFonts w:ascii="宋体" w:eastAsia="宋体" w:hAnsi="宋体" w:cs="Arial" w:hint="eastAsia"/>
        </w:rPr>
        <w:lastRenderedPageBreak/>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且相关付款条件已经具备。基金托管人将视付款条件具备时为指令送达时间。</w:t>
      </w:r>
      <w:r w:rsidR="00717BD2" w:rsidRPr="00C814CF">
        <w:rPr>
          <w:rFonts w:ascii="宋体" w:eastAsia="宋体" w:hAnsi="宋体" w:cs="Arial" w:hint="eastAsia"/>
        </w:rPr>
        <w:t>对于结售汇指令，应于交易日当日16：00前向基金托管人发送交割指令并确认。对于跨境划款指令，应于付款日前1个工作日17：00前向基金托管人发送指令并确认。对于境外证券交割指令，根据所投资市场的不同另行约定。由基金管理人原因造成的指令传输不及时、未能留出足够划款所需时间，致使资金未能及时到账所造成的损失由基金管理人承担。</w:t>
      </w:r>
      <w:r>
        <w:rPr>
          <w:rFonts w:ascii="宋体" w:eastAsia="宋体" w:hAnsi="宋体" w:cs="Arial" w:hint="eastAsia"/>
        </w:rPr>
        <w:t>对新股申购网下发行业务，基金管理人应在网下申购缴款日（T日）的前一工作日下班前将指令发送给基金托管人，指令发送时间最迟不应晚于T日上午10：00。</w:t>
      </w:r>
      <w:r>
        <w:rPr>
          <w:rFonts w:ascii="宋体" w:eastAsia="宋体" w:hAnsi="宋体" w:cs="Arial" w:hint="eastAsia"/>
          <w:szCs w:val="24"/>
        </w:rPr>
        <w:t>基金管理人应确保基金托管人在执行指令时，基金托管资金账户有足够的资金余额，</w:t>
      </w:r>
      <w:r>
        <w:rPr>
          <w:rFonts w:ascii="宋体" w:eastAsia="宋体" w:hAnsi="宋体" w:cs="Arial" w:hint="eastAsia"/>
        </w:rPr>
        <w:t>在基金资金头寸充足的情况下，基金托管人对基金管理人符合法律法规、《基金合同》、本协议的指令不得拖延或拒绝执行。</w:t>
      </w:r>
    </w:p>
    <w:p w14:paraId="6A90147D" w14:textId="77777777" w:rsidR="00A934A3" w:rsidRPr="00C814CF" w:rsidRDefault="00A934A3" w:rsidP="00C814CF">
      <w:pPr>
        <w:pStyle w:val="a6"/>
        <w:spacing w:line="360" w:lineRule="auto"/>
        <w:ind w:firstLineChars="0"/>
        <w:rPr>
          <w:rFonts w:ascii="宋体" w:eastAsia="宋体" w:hAnsi="宋体" w:cs="Arial"/>
        </w:rPr>
      </w:pPr>
      <w:r w:rsidRPr="00C814CF">
        <w:rPr>
          <w:rFonts w:ascii="宋体" w:eastAsia="宋体" w:hAnsi="宋体" w:cs="Arial" w:hint="eastAsia"/>
        </w:rPr>
        <w:t>基金托管人应当按照收到的基金管理人的指令行事。若基金托管人合理确定基金管理人指令有任何模糊或不完整，其应在收到指令后及时就该等指令向基金管理人寻求澄清或确认，以保证在约定的结算截止时限以前对其境外托管人发送交割指令。在未收到基金管理人澄清或确认的情况下，基金托管人可以本着诚信原则拒绝执行有关指令，基金托管人不对在寻求澄清或确认期间造成的延误所导致的损失负责，由于基金托管人的故意不当行为、欺诈、疏忽或者违约造成的除外。</w:t>
      </w:r>
    </w:p>
    <w:p w14:paraId="346EF101" w14:textId="77777777" w:rsidR="00A934A3" w:rsidRPr="00C814CF" w:rsidRDefault="00A934A3" w:rsidP="00C814CF">
      <w:pPr>
        <w:pStyle w:val="a6"/>
        <w:spacing w:line="360" w:lineRule="auto"/>
        <w:ind w:firstLineChars="0"/>
        <w:rPr>
          <w:rFonts w:ascii="宋体" w:eastAsia="宋体" w:hAnsi="宋体" w:cs="Arial"/>
        </w:rPr>
      </w:pPr>
      <w:r w:rsidRPr="00C814CF">
        <w:rPr>
          <w:rFonts w:ascii="宋体" w:eastAsia="宋体" w:hAnsi="宋体" w:cs="Arial" w:hint="eastAsia"/>
        </w:rPr>
        <w:t>如果没有其他另外的说明，所有的指令在取消或被取代前均是有效的。基金托管人对执行基金管理人的有效指令对基金财产造成的损失不承担赔偿责任。</w:t>
      </w:r>
    </w:p>
    <w:p w14:paraId="1F2074EE" w14:textId="77777777" w:rsidR="00A934A3" w:rsidRPr="00C814CF" w:rsidRDefault="00A934A3" w:rsidP="00C814CF">
      <w:pPr>
        <w:pStyle w:val="a6"/>
        <w:spacing w:line="360" w:lineRule="auto"/>
        <w:ind w:firstLineChars="0"/>
        <w:rPr>
          <w:rFonts w:ascii="宋体" w:eastAsia="宋体" w:hAnsi="宋体" w:cs="Arial"/>
        </w:rPr>
      </w:pPr>
      <w:r w:rsidRPr="00C814CF">
        <w:rPr>
          <w:rFonts w:ascii="宋体" w:eastAsia="宋体" w:hAnsi="宋体" w:cs="Arial" w:hint="eastAsia"/>
        </w:rPr>
        <w:t>由于基金托管人按照法律法规执行基金管理人指令而引起的任何可能发生的损失，均由基金管理人负责，由于基金托管人的故意、疏忽、失职或不诚之举造成的除外。</w:t>
      </w:r>
    </w:p>
    <w:p w14:paraId="3B327F77" w14:textId="77777777" w:rsidR="00A934A3" w:rsidRPr="00C814CF" w:rsidRDefault="00A934A3" w:rsidP="00C814CF">
      <w:pPr>
        <w:pStyle w:val="a6"/>
        <w:spacing w:line="360" w:lineRule="auto"/>
        <w:ind w:firstLineChars="0"/>
        <w:rPr>
          <w:rFonts w:ascii="宋体" w:eastAsia="宋体" w:hAnsi="宋体" w:cs="Arial"/>
        </w:rPr>
      </w:pPr>
      <w:r w:rsidRPr="00C814CF">
        <w:rPr>
          <w:rFonts w:ascii="宋体" w:eastAsia="宋体" w:hAnsi="宋体" w:cs="Arial" w:hint="eastAsia"/>
        </w:rPr>
        <w:t>基金管理人在下达指令时，应给基金托管人留出足够、合理的划款时间。</w:t>
      </w:r>
    </w:p>
    <w:p w14:paraId="43E95C8B" w14:textId="1B50CA21" w:rsidR="00A934A3" w:rsidRDefault="00A934A3" w:rsidP="00C814CF">
      <w:pPr>
        <w:pStyle w:val="a6"/>
        <w:spacing w:line="360" w:lineRule="auto"/>
        <w:ind w:firstLineChars="0"/>
        <w:rPr>
          <w:rFonts w:ascii="宋体" w:eastAsia="宋体" w:hAnsi="宋体" w:cs="Arial"/>
          <w:szCs w:val="24"/>
          <w:shd w:val="pct10" w:color="auto" w:fill="FFFFFF"/>
        </w:rPr>
      </w:pPr>
      <w:r w:rsidRPr="00C814CF">
        <w:rPr>
          <w:rFonts w:ascii="宋体" w:eastAsia="宋体" w:hAnsi="宋体" w:cs="Arial" w:hint="eastAsia"/>
        </w:rPr>
        <w:t>由于头寸管理不善导致的透支及相关损失，由基金管理人承担。</w:t>
      </w:r>
    </w:p>
    <w:p w14:paraId="2FE05F07" w14:textId="77777777" w:rsidR="00E3116F" w:rsidRDefault="00821F7A">
      <w:pPr>
        <w:pStyle w:val="a6"/>
        <w:spacing w:line="360" w:lineRule="auto"/>
        <w:ind w:firstLineChars="0"/>
        <w:rPr>
          <w:rFonts w:ascii="宋体" w:eastAsia="宋体" w:hAnsi="宋体" w:cs="Arial"/>
          <w:szCs w:val="24"/>
        </w:rPr>
      </w:pPr>
      <w:r>
        <w:rPr>
          <w:rFonts w:ascii="宋体" w:eastAsia="宋体" w:hAnsi="宋体" w:cs="Arial" w:hint="eastAsia"/>
          <w:szCs w:val="24"/>
        </w:rPr>
        <w:t>（四）基金管理人发送错误指令的情形和处理程序</w:t>
      </w:r>
    </w:p>
    <w:p w14:paraId="1CDECEAF" w14:textId="5D62DD2B" w:rsidR="00E3116F" w:rsidRDefault="004B7E80" w:rsidP="00C814CF">
      <w:pPr>
        <w:pStyle w:val="a6"/>
        <w:spacing w:line="360" w:lineRule="auto"/>
        <w:ind w:firstLineChars="0"/>
        <w:rPr>
          <w:rFonts w:ascii="宋体" w:eastAsia="宋体" w:hAnsi="宋体" w:cs="Arial"/>
          <w:szCs w:val="24"/>
        </w:rPr>
      </w:pPr>
      <w:r w:rsidRPr="00C814CF">
        <w:rPr>
          <w:rFonts w:ascii="宋体" w:eastAsia="宋体" w:hAnsi="宋体" w:cs="Arial" w:hint="eastAsia"/>
          <w:szCs w:val="24"/>
        </w:rPr>
        <w:t>基金托管人没有调查任何指令是否符合相应法律法规规定或市场惯例的义务，但如果基金托管人有合理理由，认为指令与中国或投资地法律法规、监管规定、市</w:t>
      </w:r>
      <w:r w:rsidRPr="00C814CF">
        <w:rPr>
          <w:rFonts w:ascii="宋体" w:eastAsia="宋体" w:hAnsi="宋体" w:cs="Arial" w:hint="eastAsia"/>
          <w:szCs w:val="24"/>
        </w:rPr>
        <w:lastRenderedPageBreak/>
        <w:t>场惯例、基金合同和本协议不符，基金托管人可无须按指令行事，基金托管人应当在收到指令后及时通知基金管理人并出具拒绝执行指令的合理证据或理由，并要求基金管理人予以修订或修正。在未收到基金管理人修订或修正的情况下，基金托管人可以本着诚信原则拒绝执行有关指令，直至基金管理人发送经修订或修正的指令为止。</w:t>
      </w:r>
    </w:p>
    <w:p w14:paraId="2B38F86F" w14:textId="45292E71" w:rsidR="004B7E80" w:rsidRPr="00C814CF" w:rsidRDefault="00821F7A" w:rsidP="00C814CF">
      <w:pPr>
        <w:pStyle w:val="a6"/>
        <w:spacing w:line="360" w:lineRule="auto"/>
        <w:rPr>
          <w:rFonts w:ascii="宋体" w:eastAsia="宋体" w:hAnsi="宋体" w:cs="Arial"/>
          <w:szCs w:val="24"/>
        </w:rPr>
      </w:pPr>
      <w:r>
        <w:rPr>
          <w:rFonts w:ascii="宋体" w:eastAsia="宋体" w:hAnsi="宋体" w:cs="Arial" w:hint="eastAsia"/>
          <w:szCs w:val="24"/>
        </w:rPr>
        <w:t>（五）</w:t>
      </w:r>
      <w:r w:rsidR="004B7E80" w:rsidRPr="00C814CF">
        <w:rPr>
          <w:rFonts w:ascii="宋体" w:eastAsia="宋体" w:hAnsi="宋体" w:cs="Arial" w:hint="eastAsia"/>
          <w:szCs w:val="24"/>
        </w:rPr>
        <w:t>指令截止时间</w:t>
      </w:r>
    </w:p>
    <w:p w14:paraId="1A3B7D56" w14:textId="78207E3B" w:rsidR="00E3116F" w:rsidRDefault="004B7E80" w:rsidP="00C814CF">
      <w:pPr>
        <w:pStyle w:val="a6"/>
        <w:spacing w:line="360" w:lineRule="auto"/>
        <w:ind w:firstLineChars="0"/>
        <w:rPr>
          <w:rFonts w:ascii="宋体" w:eastAsia="宋体" w:hAnsi="宋体" w:cs="Arial"/>
          <w:szCs w:val="24"/>
        </w:rPr>
      </w:pPr>
      <w:r w:rsidRPr="00C814CF">
        <w:rPr>
          <w:rFonts w:ascii="宋体" w:eastAsia="宋体" w:hAnsi="宋体" w:cs="Arial" w:hint="eastAsia"/>
          <w:szCs w:val="24"/>
        </w:rPr>
        <w:t>基金管理人和基金托管人将另行约定某些指令的接收截止时间。如果非因基金托管人本身原因，基金托管人在截止时间后收到指令，为保障基金管理人交易安全，应在收到指令后及时通知基金管理人并要求基金管理人确认是否继续执行。在未收到基金管理人确认的情况下，基金托管人可以本着诚信原则拒绝执行有关指令，直至基金管理人确认继续执行为止。同时，基金托管人不对基金管理人因指令在规定时间后发出所造成的损失承担责任，由于基金托管人的故意不当行为、欺诈、疏忽或者违约造成的除外。</w:t>
      </w:r>
    </w:p>
    <w:p w14:paraId="5584084B" w14:textId="43BBCC3A" w:rsidR="004B7E80" w:rsidRDefault="00821F7A" w:rsidP="00C814CF">
      <w:pPr>
        <w:pStyle w:val="a6"/>
        <w:spacing w:line="360" w:lineRule="auto"/>
        <w:ind w:firstLineChars="0"/>
        <w:rPr>
          <w:rFonts w:ascii="宋体" w:eastAsia="宋体" w:hAnsi="宋体" w:cs="Arial"/>
          <w:szCs w:val="24"/>
        </w:rPr>
      </w:pPr>
      <w:r>
        <w:rPr>
          <w:rFonts w:ascii="宋体" w:eastAsia="宋体" w:hAnsi="宋体" w:cs="Arial" w:hint="eastAsia"/>
          <w:szCs w:val="24"/>
        </w:rPr>
        <w:t>（六）</w:t>
      </w:r>
      <w:r w:rsidR="004B7E80">
        <w:rPr>
          <w:rFonts w:ascii="宋体" w:eastAsia="宋体" w:hAnsi="宋体" w:cs="Arial" w:hint="eastAsia"/>
          <w:szCs w:val="24"/>
        </w:rPr>
        <w:t>指令授权</w:t>
      </w:r>
    </w:p>
    <w:p w14:paraId="16969AEC" w14:textId="1E8613CF" w:rsidR="004B7E80" w:rsidRPr="004B7E80" w:rsidRDefault="004B7E80" w:rsidP="00C814CF">
      <w:pPr>
        <w:pStyle w:val="a6"/>
        <w:spacing w:line="360" w:lineRule="auto"/>
        <w:ind w:firstLineChars="0"/>
        <w:rPr>
          <w:rFonts w:ascii="宋体" w:eastAsia="宋体" w:hAnsi="宋体" w:cs="Arial"/>
          <w:szCs w:val="24"/>
        </w:rPr>
      </w:pPr>
      <w:r w:rsidRPr="00C814CF">
        <w:rPr>
          <w:rFonts w:ascii="宋体" w:eastAsia="宋体" w:hAnsi="宋体" w:cs="Arial" w:hint="eastAsia"/>
          <w:szCs w:val="24"/>
        </w:rPr>
        <w:t>基金管理人需提供经授权的业务操作人员名单，并预留授权人签字样本，在指令无法以SWIFT发送的情况下，由经授权人员签字，发出相应书面指令。基金托管人在以合理审慎对签字进行形式审查后方可执行，但在任何情况下，上述形式审查不得延误对指令的执行。基金管理人应负责确保只由被授权人向基金托管人发送该等书面指令。</w:t>
      </w:r>
    </w:p>
    <w:p w14:paraId="774416B8" w14:textId="11979DCA" w:rsidR="00E3116F" w:rsidRDefault="004B7E80">
      <w:pPr>
        <w:pStyle w:val="a6"/>
        <w:spacing w:line="360" w:lineRule="auto"/>
        <w:ind w:firstLineChars="0"/>
        <w:rPr>
          <w:rFonts w:ascii="宋体" w:eastAsia="宋体" w:hAnsi="宋体" w:cs="Arial"/>
          <w:szCs w:val="24"/>
        </w:rPr>
      </w:pPr>
      <w:r>
        <w:rPr>
          <w:rFonts w:ascii="宋体" w:eastAsia="宋体" w:hAnsi="宋体" w:cs="Arial" w:hint="eastAsia"/>
          <w:szCs w:val="24"/>
        </w:rPr>
        <w:t>（七）</w:t>
      </w:r>
      <w:r w:rsidR="00821F7A">
        <w:rPr>
          <w:rFonts w:ascii="宋体" w:eastAsia="宋体" w:hAnsi="宋体" w:cs="Arial" w:hint="eastAsia"/>
          <w:szCs w:val="24"/>
        </w:rPr>
        <w:t>更换被授权人的程序</w:t>
      </w:r>
    </w:p>
    <w:p w14:paraId="0A287FD1" w14:textId="77777777" w:rsidR="00E3116F" w:rsidRDefault="00821F7A">
      <w:pPr>
        <w:pStyle w:val="a6"/>
        <w:spacing w:line="360" w:lineRule="auto"/>
        <w:ind w:firstLineChars="0"/>
        <w:rPr>
          <w:rFonts w:ascii="宋体" w:eastAsia="宋体" w:hAnsi="宋体" w:cs="Arial"/>
          <w:szCs w:val="24"/>
        </w:rPr>
      </w:pPr>
      <w:r>
        <w:rPr>
          <w:rFonts w:ascii="宋体" w:eastAsia="宋体" w:hAnsi="宋体" w:cs="Arial" w:hint="eastAsia"/>
          <w:szCs w:val="24"/>
        </w:rPr>
        <w:t>基金管理人更换被授权人、更改或终止对被授权人的授权，应立即将加盖公章的新的授权文件以邮件发送扫描件的方式通知基金托管人，并经电话确认后生效，原授权文件同时废止。新的授权文件应当在邮件发出后七个工作日内送达托管人文件正本。新的授权文件生效之后，正本送达之前，基金托管人按照新的授权文件扫描件内容执行有关业务，如果新的授权文件正本与扫描件内容不同，由此产生的责任由基金管理人承担。基金托管人更换接受基金管理人指令的传真号或邮箱地址，应提前通知基金管理人。</w:t>
      </w:r>
    </w:p>
    <w:p w14:paraId="6DA9C2CE" w14:textId="77777777" w:rsidR="001E221A" w:rsidRPr="00C814CF" w:rsidRDefault="001E221A" w:rsidP="00C814CF">
      <w:pPr>
        <w:pStyle w:val="a6"/>
        <w:spacing w:line="360" w:lineRule="auto"/>
        <w:ind w:firstLineChars="0"/>
        <w:rPr>
          <w:rFonts w:ascii="宋体" w:eastAsia="宋体" w:hAnsi="宋体" w:cs="Arial"/>
          <w:szCs w:val="24"/>
        </w:rPr>
      </w:pPr>
      <w:r w:rsidRPr="00C814CF">
        <w:rPr>
          <w:rFonts w:ascii="宋体" w:eastAsia="宋体" w:hAnsi="宋体" w:cs="Arial" w:hint="eastAsia"/>
          <w:szCs w:val="24"/>
        </w:rPr>
        <w:t>基金管理人发送的指令，应在基金托管人规定的截止时间发出。指令传输不及时、未能留出足够的划款时间，致使资金未能及时到账所造成的损失由基金管理人承担。</w:t>
      </w:r>
    </w:p>
    <w:p w14:paraId="24A351EC" w14:textId="77777777" w:rsidR="001E221A" w:rsidRPr="00C814CF" w:rsidRDefault="001E221A" w:rsidP="00C814CF">
      <w:pPr>
        <w:pStyle w:val="a6"/>
        <w:spacing w:line="360" w:lineRule="auto"/>
        <w:ind w:firstLineChars="0"/>
        <w:rPr>
          <w:rFonts w:ascii="宋体" w:eastAsia="宋体" w:hAnsi="宋体" w:cs="Arial"/>
          <w:szCs w:val="24"/>
        </w:rPr>
      </w:pPr>
      <w:r w:rsidRPr="00C814CF">
        <w:rPr>
          <w:rFonts w:ascii="宋体" w:eastAsia="宋体" w:hAnsi="宋体" w:cs="Arial" w:hint="eastAsia"/>
          <w:szCs w:val="24"/>
        </w:rPr>
        <w:lastRenderedPageBreak/>
        <w:t>（八）委托第三方发送指令的情形</w:t>
      </w:r>
    </w:p>
    <w:p w14:paraId="288A9298" w14:textId="77777777" w:rsidR="001E221A" w:rsidRPr="00C814CF" w:rsidRDefault="001E221A" w:rsidP="00C814CF">
      <w:pPr>
        <w:pStyle w:val="a6"/>
        <w:spacing w:line="360" w:lineRule="auto"/>
        <w:ind w:firstLineChars="0"/>
        <w:rPr>
          <w:rFonts w:ascii="宋体" w:eastAsia="宋体" w:hAnsi="宋体" w:cs="Arial"/>
          <w:szCs w:val="24"/>
        </w:rPr>
      </w:pPr>
      <w:r w:rsidRPr="00C814CF">
        <w:rPr>
          <w:rFonts w:ascii="宋体" w:eastAsia="宋体" w:hAnsi="宋体" w:cs="Arial" w:hint="eastAsia"/>
          <w:szCs w:val="24"/>
        </w:rPr>
        <w:t>1.基金管理人可委托第三方发送指令，基金托管人视同为基金管理人发送的有效指令需载明如下内容：</w:t>
      </w:r>
    </w:p>
    <w:p w14:paraId="67268C1C" w14:textId="77777777" w:rsidR="001E221A" w:rsidRPr="00C814CF" w:rsidRDefault="001E221A" w:rsidP="00C814CF">
      <w:pPr>
        <w:pStyle w:val="a6"/>
        <w:spacing w:line="360" w:lineRule="auto"/>
        <w:ind w:firstLineChars="0"/>
        <w:rPr>
          <w:rFonts w:ascii="宋体" w:eastAsia="宋体" w:hAnsi="宋体" w:cs="Arial"/>
          <w:szCs w:val="24"/>
        </w:rPr>
      </w:pPr>
      <w:r w:rsidRPr="00C814CF">
        <w:rPr>
          <w:rFonts w:ascii="宋体" w:eastAsia="宋体" w:hAnsi="宋体" w:cs="Arial" w:hint="eastAsia"/>
          <w:szCs w:val="24"/>
        </w:rPr>
        <w:t>（1）SWIFT 指令发报方BIC（Bank Identifier Code）；</w:t>
      </w:r>
    </w:p>
    <w:p w14:paraId="4CDA0588" w14:textId="77777777" w:rsidR="001E221A" w:rsidRPr="00C814CF" w:rsidRDefault="001E221A" w:rsidP="00C814CF">
      <w:pPr>
        <w:pStyle w:val="a6"/>
        <w:spacing w:line="360" w:lineRule="auto"/>
        <w:ind w:firstLineChars="0"/>
        <w:rPr>
          <w:rFonts w:ascii="宋体" w:eastAsia="宋体" w:hAnsi="宋体" w:cs="Arial"/>
          <w:szCs w:val="24"/>
        </w:rPr>
      </w:pPr>
      <w:r w:rsidRPr="00C814CF">
        <w:rPr>
          <w:rFonts w:ascii="宋体" w:eastAsia="宋体" w:hAnsi="宋体" w:cs="Arial" w:hint="eastAsia"/>
          <w:szCs w:val="24"/>
        </w:rPr>
        <w:t>（2）SWIFT 指令账户栏位中载明境外证券投资托管账户号；</w:t>
      </w:r>
    </w:p>
    <w:p w14:paraId="631319CE" w14:textId="77777777" w:rsidR="001E221A" w:rsidRPr="00C814CF" w:rsidRDefault="001E221A" w:rsidP="00C814CF">
      <w:pPr>
        <w:pStyle w:val="a6"/>
        <w:spacing w:line="360" w:lineRule="auto"/>
        <w:ind w:firstLineChars="0"/>
        <w:rPr>
          <w:rFonts w:ascii="宋体" w:eastAsia="宋体" w:hAnsi="宋体" w:cs="Arial"/>
          <w:szCs w:val="24"/>
        </w:rPr>
      </w:pPr>
      <w:r w:rsidRPr="00C814CF">
        <w:rPr>
          <w:rFonts w:ascii="宋体" w:eastAsia="宋体" w:hAnsi="宋体" w:cs="Arial" w:hint="eastAsia"/>
          <w:szCs w:val="24"/>
        </w:rPr>
        <w:t>（3）适用的SWIFT 报文类型和SWIFT 报文发送时间。</w:t>
      </w:r>
    </w:p>
    <w:p w14:paraId="6ED1E726" w14:textId="77777777" w:rsidR="001E221A" w:rsidRPr="00C814CF" w:rsidRDefault="001E221A" w:rsidP="00C814CF">
      <w:pPr>
        <w:pStyle w:val="a6"/>
        <w:spacing w:line="360" w:lineRule="auto"/>
        <w:ind w:firstLineChars="0"/>
        <w:rPr>
          <w:rFonts w:ascii="宋体" w:eastAsia="宋体" w:hAnsi="宋体" w:cs="Arial"/>
          <w:szCs w:val="24"/>
        </w:rPr>
      </w:pPr>
      <w:r w:rsidRPr="00C814CF">
        <w:rPr>
          <w:rFonts w:ascii="宋体" w:eastAsia="宋体" w:hAnsi="宋体" w:cs="Arial" w:hint="eastAsia"/>
          <w:szCs w:val="24"/>
        </w:rPr>
        <w:t>上述内容由基金管理人提前以书面形式告知基金托管人。</w:t>
      </w:r>
    </w:p>
    <w:p w14:paraId="1B8C3A6A" w14:textId="059D8B8D" w:rsidR="001E221A" w:rsidRPr="00C814CF" w:rsidRDefault="001E221A" w:rsidP="00C814CF">
      <w:pPr>
        <w:pStyle w:val="a6"/>
        <w:spacing w:line="360" w:lineRule="auto"/>
        <w:ind w:firstLineChars="0"/>
        <w:rPr>
          <w:rFonts w:ascii="宋体" w:eastAsia="宋体" w:hAnsi="宋体" w:cs="Arial"/>
          <w:szCs w:val="24"/>
        </w:rPr>
      </w:pPr>
      <w:r w:rsidRPr="00C814CF">
        <w:rPr>
          <w:rFonts w:ascii="宋体" w:eastAsia="宋体" w:hAnsi="宋体" w:cs="Arial" w:hint="eastAsia"/>
          <w:szCs w:val="24"/>
        </w:rPr>
        <w:t>2.若第三方发送指令存在错误、延误等不当行为，由此给基金资产以及交易对手方、经纪商等相关第三方造成的损失,由基金管理人承担责任；由于第三方发送指令存在错误、延误等不当行为所造成的一切法律后果，基金托管人均不承担任何责任。</w:t>
      </w:r>
    </w:p>
    <w:p w14:paraId="23780851" w14:textId="18B70499" w:rsidR="00E3116F" w:rsidRDefault="00821F7A">
      <w:pPr>
        <w:adjustRightInd w:val="0"/>
        <w:snapToGrid w:val="0"/>
        <w:spacing w:line="360" w:lineRule="auto"/>
        <w:ind w:firstLine="480"/>
        <w:rPr>
          <w:rFonts w:ascii="宋体" w:hAnsi="宋体" w:cs="Arial"/>
          <w:sz w:val="24"/>
        </w:rPr>
      </w:pPr>
      <w:r>
        <w:rPr>
          <w:rFonts w:ascii="宋体" w:hAnsi="宋体" w:cs="Arial" w:hint="eastAsia"/>
          <w:sz w:val="24"/>
        </w:rPr>
        <w:t>（</w:t>
      </w:r>
      <w:r w:rsidR="0098167F">
        <w:rPr>
          <w:rFonts w:ascii="宋体" w:hAnsi="宋体" w:cs="Arial" w:hint="eastAsia"/>
          <w:sz w:val="24"/>
        </w:rPr>
        <w:t>九</w:t>
      </w:r>
      <w:r>
        <w:rPr>
          <w:rFonts w:ascii="宋体" w:hAnsi="宋体" w:cs="Arial" w:hint="eastAsia"/>
          <w:sz w:val="24"/>
        </w:rPr>
        <w:t>）其他事项</w:t>
      </w:r>
    </w:p>
    <w:p w14:paraId="4EE3CC17" w14:textId="77777777" w:rsidR="00E3116F" w:rsidRDefault="00821F7A">
      <w:pPr>
        <w:adjustRightInd w:val="0"/>
        <w:snapToGrid w:val="0"/>
        <w:spacing w:line="360" w:lineRule="auto"/>
        <w:ind w:firstLine="480"/>
        <w:rPr>
          <w:rFonts w:ascii="宋体" w:hAnsi="宋体" w:cs="Arial"/>
          <w:sz w:val="24"/>
        </w:rPr>
      </w:pPr>
      <w:r>
        <w:rPr>
          <w:rFonts w:ascii="宋体" w:hAnsi="宋体" w:cs="Arial" w:hint="eastAsia"/>
          <w:sz w:val="24"/>
        </w:rPr>
        <w:t>基金托管人在接收指令时，应对指令的要素是否齐全、印鉴与被授权人是否与预留的授权文件内容表面相符进行检查，如发现问题，应及时报告基金管理人，基金托管人对执行基金管理人的有效指令对基金财产造成的损失不承担赔偿责任。</w:t>
      </w:r>
    </w:p>
    <w:p w14:paraId="2C57C801" w14:textId="77777777" w:rsidR="00E3116F" w:rsidRDefault="00821F7A">
      <w:pPr>
        <w:adjustRightInd w:val="0"/>
        <w:snapToGrid w:val="0"/>
        <w:spacing w:line="360" w:lineRule="auto"/>
        <w:ind w:firstLine="480"/>
        <w:rPr>
          <w:rFonts w:ascii="宋体" w:hAnsi="宋体" w:cs="Arial"/>
          <w:sz w:val="24"/>
        </w:rPr>
      </w:pPr>
      <w:r>
        <w:rPr>
          <w:rFonts w:ascii="宋体"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14:paraId="3EA091CD" w14:textId="5DFF5699" w:rsidR="00E3116F" w:rsidRDefault="00E3116F" w:rsidP="001E221A">
      <w:pPr>
        <w:adjustRightInd w:val="0"/>
        <w:snapToGrid w:val="0"/>
        <w:spacing w:line="360" w:lineRule="auto"/>
        <w:rPr>
          <w:rFonts w:ascii="宋体" w:hAnsi="宋体" w:cs="Arial"/>
          <w:sz w:val="24"/>
        </w:rPr>
      </w:pPr>
    </w:p>
    <w:p w14:paraId="31062B3B" w14:textId="77777777" w:rsidR="00E3116F" w:rsidRDefault="00821F7A">
      <w:pPr>
        <w:pStyle w:val="2"/>
        <w:spacing w:line="360" w:lineRule="auto"/>
        <w:jc w:val="center"/>
        <w:rPr>
          <w:rFonts w:ascii="宋体" w:eastAsia="宋体" w:hAnsi="宋体"/>
          <w:sz w:val="30"/>
        </w:rPr>
      </w:pPr>
      <w:bookmarkStart w:id="71" w:name="_Toc118774806"/>
      <w:bookmarkStart w:id="72" w:name="_Toc516758901"/>
      <w:bookmarkStart w:id="73" w:name="_Toc86726442"/>
      <w:bookmarkStart w:id="74" w:name="_Toc84234390"/>
      <w:bookmarkStart w:id="75" w:name="_Toc86727358"/>
      <w:bookmarkStart w:id="76" w:name="_Toc86225294"/>
      <w:bookmarkStart w:id="77" w:name="_Toc118212953"/>
      <w:bookmarkStart w:id="78" w:name="_Toc120435786"/>
      <w:bookmarkStart w:id="79" w:name="_Toc118972651"/>
      <w:bookmarkStart w:id="80" w:name="_Toc89163371"/>
      <w:bookmarkStart w:id="81" w:name="_Toc86223245"/>
      <w:bookmarkStart w:id="82" w:name="_Toc86204791"/>
      <w:bookmarkStart w:id="83" w:name="_Toc110761799"/>
      <w:bookmarkStart w:id="84" w:name="_Toc110765663"/>
      <w:bookmarkStart w:id="85" w:name="_Toc84234437"/>
      <w:bookmarkStart w:id="86" w:name="_Toc119402713"/>
      <w:bookmarkStart w:id="87" w:name="_Toc86649725"/>
      <w:bookmarkStart w:id="88" w:name="_Toc86737932"/>
      <w:bookmarkStart w:id="89" w:name="_Toc110830495"/>
      <w:bookmarkStart w:id="90" w:name="_Toc108512361"/>
      <w:bookmarkStart w:id="91" w:name="_Toc84133788"/>
      <w:r>
        <w:rPr>
          <w:rFonts w:ascii="宋体" w:eastAsia="宋体" w:hAnsi="宋体" w:hint="eastAsia"/>
          <w:sz w:val="30"/>
        </w:rPr>
        <w:t>七、交易及清算交收安排</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54B55465" w14:textId="4AF8E56C" w:rsidR="00E3116F" w:rsidRDefault="00821F7A">
      <w:pPr>
        <w:adjustRightInd w:val="0"/>
        <w:snapToGrid w:val="0"/>
        <w:spacing w:line="360" w:lineRule="auto"/>
        <w:ind w:firstLine="480"/>
        <w:rPr>
          <w:rFonts w:ascii="宋体" w:hAnsi="宋体" w:cs="Arial"/>
          <w:sz w:val="24"/>
        </w:rPr>
      </w:pPr>
      <w:r>
        <w:rPr>
          <w:rFonts w:ascii="宋体" w:hAnsi="宋体" w:cs="Arial" w:hint="eastAsia"/>
          <w:sz w:val="24"/>
        </w:rPr>
        <w:t>本基金参与交易所场内证券投资，采取托管人结算模式，基金管理人与基金托管人应根据有关法律法规及相关业务规则，签订《托管银行证券资金结算协议》用以具体明确基金管理人与基金托管人在证券交易资金结算</w:t>
      </w:r>
      <w:r w:rsidR="00C932BE">
        <w:rPr>
          <w:rFonts w:ascii="宋体" w:hAnsi="宋体" w:cs="Arial" w:hint="eastAsia"/>
          <w:sz w:val="24"/>
        </w:rPr>
        <w:t>（含港股通）</w:t>
      </w:r>
      <w:r>
        <w:rPr>
          <w:rFonts w:ascii="宋体" w:hAnsi="宋体" w:cs="Arial" w:hint="eastAsia"/>
          <w:sz w:val="24"/>
        </w:rPr>
        <w:t>业务中的程序与责任。协议签署前，基金管理人应按基金托管人要求配合提供相应准入材料。</w:t>
      </w:r>
    </w:p>
    <w:p w14:paraId="4B85B81E" w14:textId="77777777" w:rsidR="00E3116F" w:rsidRDefault="00821F7A">
      <w:pPr>
        <w:adjustRightInd w:val="0"/>
        <w:snapToGrid w:val="0"/>
        <w:spacing w:line="360" w:lineRule="auto"/>
        <w:ind w:firstLine="480"/>
        <w:rPr>
          <w:rFonts w:ascii="宋体" w:hAnsi="宋体" w:cs="Arial"/>
          <w:sz w:val="24"/>
        </w:rPr>
      </w:pPr>
      <w:r>
        <w:rPr>
          <w:rFonts w:ascii="宋体" w:hAnsi="宋体" w:cs="Arial" w:hint="eastAsia"/>
          <w:sz w:val="24"/>
        </w:rPr>
        <w:t>（一）选择证券/期货买卖的证券/期货经营机构</w:t>
      </w:r>
    </w:p>
    <w:p w14:paraId="63F54724" w14:textId="77777777" w:rsidR="00E3116F" w:rsidRDefault="00821F7A">
      <w:pPr>
        <w:pStyle w:val="a0"/>
        <w:adjustRightInd w:val="0"/>
        <w:snapToGrid w:val="0"/>
        <w:spacing w:line="360" w:lineRule="auto"/>
        <w:ind w:firstLine="480"/>
        <w:rPr>
          <w:rFonts w:ascii="宋体" w:hAnsi="宋体" w:cs="Arial"/>
          <w:sz w:val="24"/>
        </w:rPr>
      </w:pPr>
      <w:r>
        <w:rPr>
          <w:rFonts w:ascii="宋体" w:hAnsi="宋体" w:cs="Arial" w:hint="eastAsia"/>
          <w:sz w:val="24"/>
        </w:rPr>
        <w:t>基金管理人应设计选择证券、期货买卖的证券/期货经营机构的标准和程序。基金管理人负责选择证券经营机构，租用其交易单元作为基金的专用交易单元。基金管理人和被选中的证券经营机构签订</w:t>
      </w:r>
      <w:r>
        <w:rPr>
          <w:rFonts w:ascii="宋体" w:hAnsi="宋体" w:cs="Arial"/>
          <w:sz w:val="24"/>
        </w:rPr>
        <w:t>交易单元租用</w:t>
      </w:r>
      <w:r>
        <w:rPr>
          <w:rFonts w:ascii="宋体" w:hAnsi="宋体" w:cs="Arial" w:hint="eastAsia"/>
          <w:sz w:val="24"/>
        </w:rPr>
        <w:t>协议，基金管理人应提前通</w:t>
      </w:r>
      <w:r>
        <w:rPr>
          <w:rFonts w:ascii="宋体" w:hAnsi="宋体" w:cs="Arial" w:hint="eastAsia"/>
          <w:sz w:val="24"/>
        </w:rPr>
        <w:lastRenderedPageBreak/>
        <w:t>知基金托管人，并依据基金托管人要求提供相关资料，以便基金托管人申请办理接收结算数据手续。基金管理人应根据有关规定，在基金的中期报告和年度报告中将所选证券经营机构的有关情况及交易信息予以披露，并将该等情况及基金交易单元号、佣金费率等基本信息以及变更情况及时以书面形式通知基金托管人。</w:t>
      </w:r>
    </w:p>
    <w:p w14:paraId="53B70DAA" w14:textId="77777777" w:rsidR="00E3116F" w:rsidRDefault="00821F7A">
      <w:pPr>
        <w:pStyle w:val="a0"/>
        <w:adjustRightInd w:val="0"/>
        <w:snapToGrid w:val="0"/>
        <w:spacing w:line="360" w:lineRule="auto"/>
        <w:ind w:firstLine="480"/>
        <w:rPr>
          <w:rFonts w:ascii="宋体" w:hAnsi="宋体" w:cs="Arial"/>
          <w:sz w:val="24"/>
        </w:rPr>
      </w:pPr>
      <w:r>
        <w:rPr>
          <w:rFonts w:ascii="宋体" w:hAnsi="宋体" w:cs="Arial" w:hint="eastAsia"/>
          <w:sz w:val="24"/>
        </w:rPr>
        <w:t>基金管理人负责选择为本基金提供期货交易服务的期货经纪公司，并与其签订期货经纪合同。本基金在开始进行期货投资之前，应与基金托管人、期货公司三方一同就期货开户、清算、估值、交收等事宜另行签署协议《期货投资托管操作三方备忘录》（协议名称以届时签订的为准）。</w:t>
      </w:r>
    </w:p>
    <w:p w14:paraId="27873552" w14:textId="7F02DFF5" w:rsidR="00C932BE" w:rsidRDefault="00821F7A" w:rsidP="00C932BE">
      <w:pPr>
        <w:pStyle w:val="a0"/>
        <w:adjustRightInd w:val="0"/>
        <w:snapToGrid w:val="0"/>
        <w:spacing w:line="360" w:lineRule="auto"/>
        <w:ind w:firstLine="480"/>
        <w:rPr>
          <w:rFonts w:ascii="宋体" w:hAnsi="宋体" w:cs="Arial"/>
          <w:sz w:val="24"/>
        </w:rPr>
      </w:pPr>
      <w:r>
        <w:rPr>
          <w:rFonts w:ascii="宋体" w:hAnsi="宋体" w:cs="Arial" w:hint="eastAsia"/>
          <w:sz w:val="24"/>
        </w:rPr>
        <w:t>本基金参加期权交易前，应当按照现有证券账户开立方式向中国证券登记结算有限责任公司申请新开立一个普通证券账户，基金管理人负责将该证券账户指定交易在证券公司或期货公司，由相应证券公司（或期货公司）为本基金开立衍生品合约账户后，再通过该证券公司（或期货公司）参与股票期权交易。</w:t>
      </w:r>
    </w:p>
    <w:p w14:paraId="39F383EB" w14:textId="77777777" w:rsidR="00E3116F" w:rsidRDefault="00821F7A">
      <w:pPr>
        <w:adjustRightInd w:val="0"/>
        <w:snapToGrid w:val="0"/>
        <w:spacing w:line="360" w:lineRule="auto"/>
        <w:ind w:firstLine="480"/>
        <w:rPr>
          <w:rFonts w:ascii="宋体" w:hAnsi="宋体" w:cs="Arial"/>
          <w:sz w:val="24"/>
        </w:rPr>
      </w:pPr>
      <w:r>
        <w:rPr>
          <w:rFonts w:ascii="宋体" w:hAnsi="宋体" w:cs="Arial" w:hint="eastAsia"/>
          <w:sz w:val="24"/>
        </w:rPr>
        <w:t>（二）基金投资证券后的清算交收安排</w:t>
      </w:r>
    </w:p>
    <w:p w14:paraId="480B762A" w14:textId="77777777" w:rsidR="00C814CF" w:rsidRDefault="00ED7094" w:rsidP="00ED7094">
      <w:pPr>
        <w:adjustRightInd w:val="0"/>
        <w:snapToGrid w:val="0"/>
        <w:spacing w:line="360" w:lineRule="auto"/>
        <w:ind w:firstLine="480"/>
        <w:rPr>
          <w:rFonts w:ascii="宋体" w:hAnsi="宋体" w:cs="Arial"/>
          <w:sz w:val="24"/>
        </w:rPr>
      </w:pPr>
      <w:r w:rsidRPr="00ED7094">
        <w:rPr>
          <w:rFonts w:ascii="宋体" w:hAnsi="宋体" w:cs="Arial" w:hint="eastAsia"/>
          <w:sz w:val="24"/>
        </w:rPr>
        <w:t>1.清算与交割</w:t>
      </w:r>
    </w:p>
    <w:p w14:paraId="5E5E39DB" w14:textId="59672A57" w:rsidR="00ED7094" w:rsidRPr="00ED7094" w:rsidRDefault="00ED7094" w:rsidP="00ED7094">
      <w:pPr>
        <w:adjustRightInd w:val="0"/>
        <w:snapToGrid w:val="0"/>
        <w:spacing w:line="360" w:lineRule="auto"/>
        <w:ind w:firstLine="480"/>
        <w:rPr>
          <w:rFonts w:ascii="宋体" w:hAnsi="宋体" w:cs="Arial"/>
          <w:sz w:val="24"/>
        </w:rPr>
      </w:pPr>
      <w:r w:rsidRPr="00ED7094">
        <w:rPr>
          <w:rFonts w:ascii="宋体" w:hAnsi="宋体" w:cs="Arial" w:hint="eastAsia"/>
          <w:sz w:val="24"/>
        </w:rPr>
        <w:t>（1）境外证券结算指令</w:t>
      </w:r>
    </w:p>
    <w:p w14:paraId="5FDE6784" w14:textId="77777777" w:rsidR="00ED7094" w:rsidRPr="00ED7094" w:rsidRDefault="00ED7094" w:rsidP="00ED7094">
      <w:pPr>
        <w:adjustRightInd w:val="0"/>
        <w:snapToGrid w:val="0"/>
        <w:spacing w:line="360" w:lineRule="auto"/>
        <w:ind w:firstLine="480"/>
        <w:rPr>
          <w:rFonts w:ascii="宋体" w:hAnsi="宋体" w:cs="Arial"/>
          <w:sz w:val="24"/>
        </w:rPr>
      </w:pPr>
      <w:r w:rsidRPr="00ED7094">
        <w:rPr>
          <w:rFonts w:ascii="宋体" w:hAnsi="宋体" w:cs="Arial" w:hint="eastAsia"/>
          <w:sz w:val="24"/>
        </w:rPr>
        <w:t>基金托管人可将基金买卖证券的清算交收、资金汇划及交易过户记录获取等职责委托给境外托管人。</w:t>
      </w:r>
    </w:p>
    <w:p w14:paraId="72360E70" w14:textId="77777777" w:rsidR="00ED7094" w:rsidRPr="00ED7094" w:rsidRDefault="00ED7094" w:rsidP="00ED7094">
      <w:pPr>
        <w:adjustRightInd w:val="0"/>
        <w:snapToGrid w:val="0"/>
        <w:spacing w:line="360" w:lineRule="auto"/>
        <w:ind w:firstLine="480"/>
        <w:rPr>
          <w:rFonts w:ascii="宋体" w:hAnsi="宋体" w:cs="Arial"/>
          <w:sz w:val="24"/>
        </w:rPr>
      </w:pPr>
      <w:r w:rsidRPr="00ED7094">
        <w:rPr>
          <w:rFonts w:ascii="宋体" w:hAnsi="宋体" w:cs="Arial" w:hint="eastAsia"/>
          <w:sz w:val="24"/>
        </w:rPr>
        <w:t>基金管理人在结算指令截止时间（另行约定）之前向基金托管人发出结算指令，该等指令需按照双方约定，包含所有要素。基金托管人应及时将该结算指令按约定方式发送给其委托的境外托管人。境外托管人根据投资地交易规则准确及时地办理结算。除基金托管人或其委托的境外托管人故意不当行为、欺诈、疏忽或者违约之外，基金托管人或其委托的境外托管人不承担其以符合法律法规、相关投资产品的条款条件及有关市场规则的方式在收到对手方的对价之前交付金融资产或者支付资金的风险损失。基金托管人或其委托的境外托管人在基金管理人的要求下，应协助基金管理人提起法律诉讼或对责任方采取类似措施以追究责任，由此发生的合理费用由基金管理人承担。对于未成功交割的结算指令以及特殊情况下的延迟交收，基金托管人或其委托的境外托管人应及时通知基金管理人，以便于基金管理人和基金托管人共同联系解决。</w:t>
      </w:r>
    </w:p>
    <w:p w14:paraId="1ED4D693" w14:textId="77777777" w:rsidR="00ED7094" w:rsidRPr="00ED7094" w:rsidRDefault="00ED7094" w:rsidP="00ED7094">
      <w:pPr>
        <w:adjustRightInd w:val="0"/>
        <w:snapToGrid w:val="0"/>
        <w:spacing w:line="360" w:lineRule="auto"/>
        <w:ind w:firstLine="480"/>
        <w:rPr>
          <w:rFonts w:ascii="宋体" w:hAnsi="宋体" w:cs="Arial"/>
          <w:sz w:val="24"/>
        </w:rPr>
      </w:pPr>
      <w:r w:rsidRPr="00ED7094">
        <w:rPr>
          <w:rFonts w:ascii="宋体" w:hAnsi="宋体" w:cs="Arial" w:hint="eastAsia"/>
          <w:sz w:val="24"/>
        </w:rPr>
        <w:t>基金托管人按基金管理人发送的成交回报或清算交割指令进行相应的会计记录，基金托管人及其境外托管人可根据实际交割情况调整按基金管理人发送的指</w:t>
      </w:r>
      <w:r w:rsidRPr="00ED7094">
        <w:rPr>
          <w:rFonts w:ascii="宋体" w:hAnsi="宋体" w:cs="Arial" w:hint="eastAsia"/>
          <w:sz w:val="24"/>
        </w:rPr>
        <w:lastRenderedPageBreak/>
        <w:t>令所作出的会计记录，基金托管人应通知基金管理人。此种调整所发生的任何支出由基金管理人负责协调解决。</w:t>
      </w:r>
    </w:p>
    <w:p w14:paraId="663890DA" w14:textId="77777777" w:rsidR="00ED7094" w:rsidRPr="00ED7094" w:rsidRDefault="00ED7094" w:rsidP="00ED7094">
      <w:pPr>
        <w:adjustRightInd w:val="0"/>
        <w:snapToGrid w:val="0"/>
        <w:spacing w:line="360" w:lineRule="auto"/>
        <w:ind w:firstLine="480"/>
        <w:rPr>
          <w:rFonts w:ascii="宋体" w:hAnsi="宋体" w:cs="Arial"/>
          <w:sz w:val="24"/>
        </w:rPr>
      </w:pPr>
      <w:r w:rsidRPr="00ED7094">
        <w:rPr>
          <w:rFonts w:ascii="宋体" w:hAnsi="宋体" w:cs="Arial" w:hint="eastAsia"/>
          <w:sz w:val="24"/>
        </w:rPr>
        <w:t>因基金管理人对基金资产流动性管理不慎，造成的基金资产损失，由基金管理人承担。</w:t>
      </w:r>
    </w:p>
    <w:p w14:paraId="2319F807" w14:textId="77777777" w:rsidR="00ED7094" w:rsidRPr="00ED7094" w:rsidRDefault="00ED7094" w:rsidP="00ED7094">
      <w:pPr>
        <w:adjustRightInd w:val="0"/>
        <w:snapToGrid w:val="0"/>
        <w:spacing w:line="360" w:lineRule="auto"/>
        <w:ind w:firstLine="480"/>
        <w:rPr>
          <w:rFonts w:ascii="宋体" w:hAnsi="宋体" w:cs="Arial"/>
          <w:sz w:val="24"/>
        </w:rPr>
      </w:pPr>
      <w:r w:rsidRPr="00ED7094">
        <w:rPr>
          <w:rFonts w:ascii="宋体" w:hAnsi="宋体" w:cs="Arial" w:hint="eastAsia"/>
          <w:sz w:val="24"/>
        </w:rPr>
        <w:t>（2）期货保证金的划拨</w:t>
      </w:r>
    </w:p>
    <w:p w14:paraId="364CEF8C" w14:textId="77777777" w:rsidR="00ED7094" w:rsidRPr="00ED7094" w:rsidRDefault="00ED7094" w:rsidP="00ED7094">
      <w:pPr>
        <w:adjustRightInd w:val="0"/>
        <w:snapToGrid w:val="0"/>
        <w:spacing w:line="360" w:lineRule="auto"/>
        <w:ind w:firstLine="480"/>
        <w:rPr>
          <w:rFonts w:ascii="宋体" w:hAnsi="宋体" w:cs="Arial"/>
          <w:sz w:val="24"/>
        </w:rPr>
      </w:pPr>
      <w:r w:rsidRPr="00ED7094">
        <w:rPr>
          <w:rFonts w:ascii="宋体" w:hAnsi="宋体" w:cs="Arial" w:hint="eastAsia"/>
          <w:sz w:val="24"/>
        </w:rPr>
        <w:t xml:space="preserve">基金管理人应于T+1日14：00之前以电邮、传真等方式发送期货经纪商的关于追加保证金等事项的报告（statement）给基金托管人，并同时在与基金托管人确认的截至时间点前发送境外账户划付保证金的指令。基金管理人保证境外账户资金余额足够支付保证金。 </w:t>
      </w:r>
    </w:p>
    <w:p w14:paraId="408EA0E1" w14:textId="77777777" w:rsidR="00ED7094" w:rsidRPr="00ED7094" w:rsidRDefault="00ED7094" w:rsidP="00ED7094">
      <w:pPr>
        <w:adjustRightInd w:val="0"/>
        <w:snapToGrid w:val="0"/>
        <w:spacing w:line="360" w:lineRule="auto"/>
        <w:ind w:firstLine="480"/>
        <w:rPr>
          <w:rFonts w:ascii="宋体" w:hAnsi="宋体" w:cs="Arial"/>
          <w:sz w:val="24"/>
        </w:rPr>
      </w:pPr>
      <w:r w:rsidRPr="00ED7094">
        <w:rPr>
          <w:rFonts w:ascii="宋体" w:hAnsi="宋体" w:cs="Arial" w:hint="eastAsia"/>
          <w:sz w:val="24"/>
        </w:rPr>
        <w:t>如出现影响按时划付保证金的异常情况，基金管理人应及时通知基金托管人，并尽力与期货经纪商争取宽限期或其他解决方法。如因基金管理人提供的付款时效或金额错误而出现影响及时划付保证金的异常情况，由基金管理人承担责任；如果由于基金托管人的故意或过失而出现影响及时划付保证金的异常情况，由基金托管人承担责任。</w:t>
      </w:r>
    </w:p>
    <w:p w14:paraId="3ABEBB78" w14:textId="77777777" w:rsidR="00ED7094" w:rsidRPr="00ED7094" w:rsidRDefault="00ED7094" w:rsidP="00ED7094">
      <w:pPr>
        <w:adjustRightInd w:val="0"/>
        <w:snapToGrid w:val="0"/>
        <w:spacing w:line="360" w:lineRule="auto"/>
        <w:ind w:firstLine="480"/>
        <w:rPr>
          <w:rFonts w:ascii="宋体" w:hAnsi="宋体" w:cs="Arial"/>
          <w:sz w:val="24"/>
        </w:rPr>
      </w:pPr>
      <w:r w:rsidRPr="00ED7094">
        <w:rPr>
          <w:rFonts w:ascii="宋体" w:hAnsi="宋体" w:cs="Arial" w:hint="eastAsia"/>
          <w:sz w:val="24"/>
        </w:rPr>
        <w:t>基金管理人应负责基金项下现货、期货、赎回等资金的头寸管理，在资金头寸不足的情况下，由基金托管人尽力通知基金管理人，基金管理人应向基金托管人明示清算顺序，如无基金管理人明示的清算顺序，则由境外托管人按照其清算顺序要求进行清算。由于头寸管理不善导致的透支及相关损失，由基金管理人承担。</w:t>
      </w:r>
    </w:p>
    <w:p w14:paraId="422ABB5E" w14:textId="77777777" w:rsidR="00ED7094" w:rsidRPr="00ED7094" w:rsidRDefault="00ED7094" w:rsidP="00ED7094">
      <w:pPr>
        <w:adjustRightInd w:val="0"/>
        <w:snapToGrid w:val="0"/>
        <w:spacing w:line="360" w:lineRule="auto"/>
        <w:ind w:firstLine="480"/>
        <w:rPr>
          <w:rFonts w:ascii="宋体" w:hAnsi="宋体" w:cs="Arial"/>
          <w:sz w:val="24"/>
        </w:rPr>
      </w:pPr>
      <w:r w:rsidRPr="00ED7094">
        <w:rPr>
          <w:rFonts w:ascii="宋体" w:hAnsi="宋体" w:cs="Arial" w:hint="eastAsia"/>
          <w:sz w:val="24"/>
        </w:rPr>
        <w:t>从保证金账户划出保证金的指令由基金管理人直接发送给期货清算经纪商，基金管理人负责核对其前台交易数据与期货清算经纪商数据，确认保证金金额准确，并保证其得到安全划出，并立即通知境内托管人。如果保证金出现任何未能及时到账的异常情况，基金托管人应及时通知基金管理人。</w:t>
      </w:r>
    </w:p>
    <w:p w14:paraId="7C62D7A4" w14:textId="77777777" w:rsidR="00ED7094" w:rsidRPr="00ED7094" w:rsidRDefault="00ED7094" w:rsidP="00ED7094">
      <w:pPr>
        <w:adjustRightInd w:val="0"/>
        <w:snapToGrid w:val="0"/>
        <w:spacing w:line="360" w:lineRule="auto"/>
        <w:ind w:firstLine="480"/>
        <w:rPr>
          <w:rFonts w:ascii="宋体" w:hAnsi="宋体" w:cs="Arial"/>
          <w:sz w:val="24"/>
        </w:rPr>
      </w:pPr>
      <w:r w:rsidRPr="00ED7094">
        <w:rPr>
          <w:rFonts w:ascii="宋体" w:hAnsi="宋体" w:cs="Arial" w:hint="eastAsia"/>
          <w:sz w:val="24"/>
        </w:rPr>
        <w:t>对非基金托管人过失造成的资金划拨延迟或资金损失，基金托管人不承担责任。</w:t>
      </w:r>
    </w:p>
    <w:p w14:paraId="76F7AE41" w14:textId="77777777" w:rsidR="00ED7094" w:rsidRPr="00ED7094" w:rsidRDefault="00ED7094" w:rsidP="00ED7094">
      <w:pPr>
        <w:adjustRightInd w:val="0"/>
        <w:snapToGrid w:val="0"/>
        <w:spacing w:line="360" w:lineRule="auto"/>
        <w:ind w:firstLine="480"/>
        <w:rPr>
          <w:rFonts w:ascii="宋体" w:hAnsi="宋体" w:cs="Arial"/>
          <w:sz w:val="24"/>
        </w:rPr>
      </w:pPr>
      <w:r w:rsidRPr="00ED7094">
        <w:rPr>
          <w:rFonts w:ascii="宋体" w:hAnsi="宋体" w:cs="Arial" w:hint="eastAsia"/>
          <w:sz w:val="24"/>
        </w:rPr>
        <w:t>基金托管人不对期货保证金进行垫付。对基金托管人过失造成的资金划拨延迟或资金损失，基金托管人承担责任。</w:t>
      </w:r>
    </w:p>
    <w:p w14:paraId="16E4E13C" w14:textId="77777777" w:rsidR="00ED7094" w:rsidRPr="00ED7094" w:rsidRDefault="00ED7094" w:rsidP="00ED7094">
      <w:pPr>
        <w:adjustRightInd w:val="0"/>
        <w:snapToGrid w:val="0"/>
        <w:spacing w:line="360" w:lineRule="auto"/>
        <w:ind w:firstLine="480"/>
        <w:rPr>
          <w:rFonts w:ascii="宋体" w:hAnsi="宋体" w:cs="Arial"/>
          <w:sz w:val="24"/>
        </w:rPr>
      </w:pPr>
      <w:r w:rsidRPr="00ED7094">
        <w:rPr>
          <w:rFonts w:ascii="宋体" w:hAnsi="宋体" w:cs="Arial" w:hint="eastAsia"/>
          <w:sz w:val="24"/>
        </w:rPr>
        <w:t>（3）远期投资保证金的划拨</w:t>
      </w:r>
    </w:p>
    <w:p w14:paraId="65A18ABE" w14:textId="77777777" w:rsidR="00ED7094" w:rsidRPr="00ED7094" w:rsidRDefault="00ED7094" w:rsidP="00ED7094">
      <w:pPr>
        <w:adjustRightInd w:val="0"/>
        <w:snapToGrid w:val="0"/>
        <w:spacing w:line="360" w:lineRule="auto"/>
        <w:ind w:firstLine="480"/>
        <w:rPr>
          <w:rFonts w:ascii="宋体" w:hAnsi="宋体" w:cs="Arial"/>
          <w:sz w:val="24"/>
        </w:rPr>
      </w:pPr>
      <w:r w:rsidRPr="00ED7094">
        <w:rPr>
          <w:rFonts w:ascii="宋体" w:hAnsi="宋体" w:cs="Arial" w:hint="eastAsia"/>
          <w:sz w:val="24"/>
        </w:rPr>
        <w:t>基金管理人向基金托管人按照约定的时间点及方式发送划付保证金的指令。</w:t>
      </w:r>
    </w:p>
    <w:p w14:paraId="015493F6" w14:textId="77777777" w:rsidR="00ED7094" w:rsidRPr="00ED7094" w:rsidRDefault="00ED7094" w:rsidP="00ED7094">
      <w:pPr>
        <w:adjustRightInd w:val="0"/>
        <w:snapToGrid w:val="0"/>
        <w:spacing w:line="360" w:lineRule="auto"/>
        <w:ind w:firstLine="480"/>
        <w:rPr>
          <w:rFonts w:ascii="宋体" w:hAnsi="宋体" w:cs="Arial"/>
          <w:sz w:val="24"/>
        </w:rPr>
      </w:pPr>
      <w:r w:rsidRPr="00ED7094">
        <w:rPr>
          <w:rFonts w:ascii="宋体" w:hAnsi="宋体" w:cs="Arial" w:hint="eastAsia"/>
          <w:sz w:val="24"/>
        </w:rPr>
        <w:t>如因基金管理人提供的付款时效或金额错误而出现影响及时划付保证金的异常情况，由基金管理人承担责任；如果由于基金托管人的故意或重大过失而出现影</w:t>
      </w:r>
      <w:r w:rsidRPr="00ED7094">
        <w:rPr>
          <w:rFonts w:ascii="宋体" w:hAnsi="宋体" w:cs="Arial" w:hint="eastAsia"/>
          <w:sz w:val="24"/>
        </w:rPr>
        <w:lastRenderedPageBreak/>
        <w:t>响及时划付保证金的异常情况且对管理人造成直接损失的，由基金托管人承担相应责任。基金管理人应负责基金项下现货、远期、赎回等资金的头寸管理，在资金头寸不足的情况下，由基金托管人通知基金管理人，基金管理人应向基金托管人按照约定的方式明示清算顺序，如无基金管理人明示的清算顺序，则由境外托管人按照其清算顺序要求进行清算。由于头寸管理不善导致的透支及相关损失，由基金管理人承担。</w:t>
      </w:r>
    </w:p>
    <w:p w14:paraId="24BCFE4A" w14:textId="77777777" w:rsidR="00ED7094" w:rsidRPr="00ED7094" w:rsidRDefault="00ED7094" w:rsidP="00ED7094">
      <w:pPr>
        <w:adjustRightInd w:val="0"/>
        <w:snapToGrid w:val="0"/>
        <w:spacing w:line="360" w:lineRule="auto"/>
        <w:ind w:firstLine="480"/>
        <w:rPr>
          <w:rFonts w:ascii="宋体" w:hAnsi="宋体" w:cs="Arial"/>
          <w:sz w:val="24"/>
        </w:rPr>
      </w:pPr>
      <w:r w:rsidRPr="00ED7094">
        <w:rPr>
          <w:rFonts w:ascii="宋体" w:hAnsi="宋体" w:cs="Arial" w:hint="eastAsia"/>
          <w:sz w:val="24"/>
        </w:rPr>
        <w:t>保证金出金指令由基金管理人直接发送给保证金账户开户银行，基金管理人负责确认保证金金额准确。保证金入金指令由基金管理人直接发送给基金托管人，基金托管人负责及时划出保证金，如果出现任何异常情况，基金托管人应及时通知基金管理人。</w:t>
      </w:r>
    </w:p>
    <w:p w14:paraId="01742006" w14:textId="77777777" w:rsidR="00ED7094" w:rsidRPr="00ED7094" w:rsidRDefault="00ED7094" w:rsidP="00ED7094">
      <w:pPr>
        <w:adjustRightInd w:val="0"/>
        <w:snapToGrid w:val="0"/>
        <w:spacing w:line="360" w:lineRule="auto"/>
        <w:ind w:firstLine="480"/>
        <w:rPr>
          <w:rFonts w:ascii="宋体" w:hAnsi="宋体" w:cs="Arial"/>
          <w:sz w:val="24"/>
        </w:rPr>
      </w:pPr>
      <w:r w:rsidRPr="00ED7094">
        <w:rPr>
          <w:rFonts w:ascii="宋体" w:hAnsi="宋体" w:cs="Arial" w:hint="eastAsia"/>
          <w:sz w:val="24"/>
        </w:rPr>
        <w:t>对基金托管人重大过失造成的资金划拨延迟或资金损失，基金托管人承担责任。对非基金托管人重大过失造成的资金划拨延迟或资金损失，基金托管人不承担责任。</w:t>
      </w:r>
    </w:p>
    <w:p w14:paraId="4E18AF54" w14:textId="3D6D5C82" w:rsidR="00E3116F" w:rsidRDefault="00ED7094" w:rsidP="00ED7094">
      <w:pPr>
        <w:adjustRightInd w:val="0"/>
        <w:snapToGrid w:val="0"/>
        <w:spacing w:line="360" w:lineRule="auto"/>
        <w:ind w:firstLine="480"/>
        <w:rPr>
          <w:rFonts w:ascii="宋体" w:hAnsi="宋体" w:cs="Arial"/>
          <w:sz w:val="24"/>
        </w:rPr>
      </w:pPr>
      <w:r w:rsidRPr="00ED7094">
        <w:rPr>
          <w:rFonts w:ascii="宋体" w:hAnsi="宋体" w:cs="Arial" w:hint="eastAsia"/>
          <w:sz w:val="24"/>
        </w:rPr>
        <w:t>（4）境内证券结算指令</w:t>
      </w:r>
    </w:p>
    <w:p w14:paraId="240B0501" w14:textId="77777777" w:rsidR="00E3116F" w:rsidRDefault="00821F7A">
      <w:pPr>
        <w:adjustRightInd w:val="0"/>
        <w:snapToGrid w:val="0"/>
        <w:spacing w:line="360" w:lineRule="auto"/>
        <w:ind w:firstLine="480"/>
        <w:rPr>
          <w:rFonts w:ascii="宋体" w:hAnsi="宋体"/>
          <w:sz w:val="24"/>
          <w:szCs w:val="24"/>
        </w:rPr>
      </w:pPr>
      <w:r>
        <w:rPr>
          <w:rFonts w:ascii="宋体" w:hAnsi="宋体" w:hint="eastAsia"/>
          <w:sz w:val="24"/>
          <w:szCs w:val="24"/>
        </w:rPr>
        <w:t>中国证券登记结算有限责任公司分别于每月前6个交易日及每月前3个交易日内，对结算参与人最低备付金限额与结算保证金限额进行重新核算、调整。基金托管人应分别于每月前3个交易日内及结算保证金调整当日通过《资金账户报告》通知基金管理人本基金最低备付金调整金额以及调整后的结算保证金金额。基金管理人应预留最低备付金和结算保证金，并根据中国证券登记结算有限责任公司确定的实际最低备付金、结算保证金数据为依据安排资金运作，调整所需的现金头寸。如因调整最低备付金、结算保证金后造成透支，基金管理人应视基金托管人最低结算备付金比例计收方式分别于下列时点补足透支金额：</w:t>
      </w:r>
    </w:p>
    <w:p w14:paraId="55CBC8E2" w14:textId="77777777" w:rsidR="00E3116F" w:rsidRDefault="00821F7A">
      <w:pPr>
        <w:adjustRightInd w:val="0"/>
        <w:snapToGrid w:val="0"/>
        <w:spacing w:line="360" w:lineRule="auto"/>
        <w:ind w:firstLine="480"/>
        <w:rPr>
          <w:rFonts w:ascii="宋体" w:hAnsi="宋体"/>
          <w:sz w:val="24"/>
          <w:szCs w:val="24"/>
        </w:rPr>
      </w:pPr>
      <w:r>
        <w:rPr>
          <w:rFonts w:ascii="宋体" w:hAnsi="宋体" w:hint="eastAsia"/>
          <w:sz w:val="24"/>
          <w:szCs w:val="24"/>
        </w:rPr>
        <w:t>（1）固定备付金比例计收方式下，基金管理人应在调整最低备付金、结算保证金当日上午11：00之前补足金额。</w:t>
      </w:r>
    </w:p>
    <w:p w14:paraId="05E677EC" w14:textId="77777777" w:rsidR="00E3116F" w:rsidRDefault="00821F7A">
      <w:pPr>
        <w:adjustRightInd w:val="0"/>
        <w:snapToGrid w:val="0"/>
        <w:spacing w:line="360" w:lineRule="auto"/>
        <w:ind w:firstLine="480"/>
        <w:rPr>
          <w:rFonts w:ascii="宋体" w:hAnsi="宋体"/>
          <w:sz w:val="24"/>
          <w:szCs w:val="24"/>
        </w:rPr>
      </w:pPr>
      <w:r>
        <w:rPr>
          <w:rFonts w:ascii="宋体" w:hAnsi="宋体" w:hint="eastAsia"/>
          <w:sz w:val="24"/>
          <w:szCs w:val="24"/>
        </w:rPr>
        <w:t>（2）差异化备付金比例计收方式下，基金管理人应最晚于资金交收日上午8：30前补足金额。</w:t>
      </w:r>
    </w:p>
    <w:p w14:paraId="759348D6" w14:textId="77777777" w:rsidR="00E3116F" w:rsidRDefault="00821F7A">
      <w:pPr>
        <w:adjustRightInd w:val="0"/>
        <w:snapToGrid w:val="0"/>
        <w:spacing w:line="360" w:lineRule="auto"/>
        <w:ind w:firstLine="480"/>
        <w:rPr>
          <w:rFonts w:ascii="宋体" w:hAnsi="宋体" w:cs="Arial"/>
          <w:sz w:val="24"/>
        </w:rPr>
      </w:pPr>
      <w:r>
        <w:rPr>
          <w:rFonts w:ascii="宋体" w:hAnsi="宋体" w:cs="Arial" w:hint="eastAsia"/>
          <w:sz w:val="24"/>
        </w:rPr>
        <w:t>2.清算交收</w:t>
      </w:r>
    </w:p>
    <w:p w14:paraId="2E5E2B1C" w14:textId="77777777" w:rsidR="00E3116F" w:rsidRDefault="00821F7A">
      <w:pPr>
        <w:adjustRightInd w:val="0"/>
        <w:snapToGrid w:val="0"/>
        <w:spacing w:line="360" w:lineRule="auto"/>
        <w:ind w:firstLine="480"/>
        <w:rPr>
          <w:rFonts w:ascii="宋体" w:hAnsi="宋体" w:cs="Arial"/>
          <w:sz w:val="24"/>
        </w:rPr>
      </w:pPr>
      <w:r>
        <w:rPr>
          <w:rFonts w:ascii="宋体"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6DA8A444" w14:textId="77777777" w:rsidR="00E3116F" w:rsidRDefault="00821F7A">
      <w:pPr>
        <w:pStyle w:val="a0"/>
        <w:adjustRightInd w:val="0"/>
        <w:snapToGrid w:val="0"/>
        <w:spacing w:line="360" w:lineRule="auto"/>
        <w:ind w:firstLine="480"/>
        <w:rPr>
          <w:rFonts w:ascii="宋体" w:hAnsi="宋体" w:cs="Arial"/>
          <w:sz w:val="24"/>
        </w:rPr>
      </w:pPr>
      <w:r>
        <w:rPr>
          <w:rFonts w:ascii="宋体" w:hAnsi="宋体" w:cs="Arial" w:hint="eastAsia"/>
          <w:sz w:val="24"/>
        </w:rPr>
        <w:lastRenderedPageBreak/>
        <w:t>如果因为基金托管人过错在清算上造成基金财产的直接损失，应由基金托管人负责赔偿，但因中国人民银行、中国结算和银行间市场登记结算机构资金结算系统以及其他机构的结算系统发生故障等非基金托管人可以控制的因素造成清算资金无法按时到账的情形，基金托管人免责；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在预清算结束后应通知基金管理人预透支和预欠库事项，基金管理人应保持联系方式畅通，后续补缴等事宜由基金管理人负责解决，由此给基金托管人、本基金和基金托管人托管的其他资产造成的直接损失由基金管理人承担。</w:t>
      </w:r>
    </w:p>
    <w:p w14:paraId="2EB7B87C" w14:textId="77777777" w:rsidR="00E3116F" w:rsidRDefault="00821F7A">
      <w:pPr>
        <w:adjustRightInd w:val="0"/>
        <w:snapToGrid w:val="0"/>
        <w:spacing w:line="360" w:lineRule="auto"/>
        <w:ind w:firstLine="480"/>
        <w:rPr>
          <w:rFonts w:ascii="宋体" w:hAnsi="宋体" w:cs="宋体"/>
          <w:color w:val="000000"/>
          <w:kern w:val="0"/>
          <w:sz w:val="24"/>
        </w:rPr>
      </w:pPr>
      <w:r>
        <w:rPr>
          <w:rFonts w:ascii="宋体" w:hAnsi="宋体" w:cs="宋体" w:hint="eastAsia"/>
          <w:color w:val="000000"/>
          <w:kern w:val="0"/>
          <w:sz w:val="24"/>
        </w:rPr>
        <w:t>基金管理人应采取合理、必要措施，确保T日日终有足够的资金头寸完成T+1日</w:t>
      </w:r>
      <w:r>
        <w:rPr>
          <w:rFonts w:ascii="宋体" w:hAnsi="宋体" w:hint="eastAsia"/>
          <w:sz w:val="24"/>
        </w:rPr>
        <w:t>中国证券登记结算有限责任公司的资金</w:t>
      </w:r>
      <w:r>
        <w:rPr>
          <w:rFonts w:ascii="宋体" w:hAnsi="宋体" w:cs="宋体" w:hint="eastAsia"/>
          <w:color w:val="000000"/>
          <w:kern w:val="0"/>
          <w:sz w:val="24"/>
        </w:rPr>
        <w:t>交收；如因基金管理人原因导致资金头寸不足，基金管理人应视基金托管人最低结算备付金比例计收方式分别于下列时点补足透支金额：</w:t>
      </w:r>
    </w:p>
    <w:p w14:paraId="592D49CF" w14:textId="77777777" w:rsidR="00E3116F" w:rsidRDefault="00821F7A">
      <w:pPr>
        <w:adjustRightInd w:val="0"/>
        <w:snapToGrid w:val="0"/>
        <w:spacing w:line="360" w:lineRule="auto"/>
        <w:ind w:firstLine="480"/>
        <w:rPr>
          <w:rFonts w:ascii="宋体" w:hAnsi="宋体" w:cs="宋体"/>
          <w:color w:val="000000"/>
          <w:kern w:val="0"/>
          <w:sz w:val="24"/>
        </w:rPr>
      </w:pPr>
      <w:r>
        <w:rPr>
          <w:rFonts w:ascii="宋体" w:hAnsi="宋体" w:cs="宋体" w:hint="eastAsia"/>
          <w:color w:val="000000"/>
          <w:kern w:val="0"/>
          <w:sz w:val="24"/>
        </w:rPr>
        <w:t>（1）固定备付金比例计收方式下，基金管理人应最晚于资金交收日上午11：00前补足金额。</w:t>
      </w:r>
    </w:p>
    <w:p w14:paraId="39755F18" w14:textId="77777777" w:rsidR="00E3116F" w:rsidRDefault="00821F7A">
      <w:pPr>
        <w:adjustRightInd w:val="0"/>
        <w:snapToGrid w:val="0"/>
        <w:spacing w:line="360" w:lineRule="auto"/>
        <w:ind w:firstLine="480"/>
        <w:rPr>
          <w:rFonts w:ascii="宋体" w:hAnsi="宋体" w:cs="宋体"/>
          <w:color w:val="000000"/>
          <w:kern w:val="0"/>
          <w:sz w:val="24"/>
        </w:rPr>
      </w:pPr>
      <w:r>
        <w:rPr>
          <w:rFonts w:ascii="宋体" w:hAnsi="宋体" w:cs="宋体" w:hint="eastAsia"/>
          <w:color w:val="000000"/>
          <w:kern w:val="0"/>
          <w:sz w:val="24"/>
        </w:rPr>
        <w:t>（2）差异化备付金比例计收方式下，基金管理人应最晚于资金交收日上午8：30前补足金额。如果基金管理人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14:paraId="66CDEDD7" w14:textId="77777777" w:rsidR="00E3116F" w:rsidRDefault="00821F7A">
      <w:pPr>
        <w:adjustRightInd w:val="0"/>
        <w:snapToGrid w:val="0"/>
        <w:spacing w:line="360" w:lineRule="auto"/>
        <w:ind w:firstLine="480"/>
        <w:rPr>
          <w:rFonts w:ascii="宋体" w:hAnsi="宋体" w:cs="Arial"/>
          <w:sz w:val="24"/>
        </w:rPr>
      </w:pPr>
      <w:r>
        <w:rPr>
          <w:rFonts w:ascii="宋体" w:hAnsi="宋体" w:cs="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14:paraId="052A2DF2" w14:textId="77777777" w:rsidR="00E3116F" w:rsidRDefault="00821F7A">
      <w:pPr>
        <w:adjustRightInd w:val="0"/>
        <w:snapToGrid w:val="0"/>
        <w:spacing w:line="360" w:lineRule="auto"/>
        <w:ind w:firstLine="480"/>
        <w:rPr>
          <w:rFonts w:ascii="宋体" w:hAnsi="宋体" w:cs="宋体"/>
          <w:color w:val="000000"/>
          <w:kern w:val="0"/>
          <w:sz w:val="24"/>
        </w:rPr>
      </w:pPr>
      <w:r>
        <w:rPr>
          <w:rFonts w:ascii="宋体" w:hAnsi="宋体" w:cs="宋体" w:hint="eastAsia"/>
          <w:color w:val="000000"/>
          <w:kern w:val="0"/>
          <w:sz w:val="24"/>
        </w:rPr>
        <w:t>对于中国证券登记结算有限责任公司实行T+0非担保交收的业务，基金管理人应在交易日14:00前将划款指令发送至基金托管人。因基金管理人指令传输不及时，致使资金未能及时划入中国结算指定交收账户所造成的损失由基金管理人</w:t>
      </w:r>
      <w:r>
        <w:rPr>
          <w:rFonts w:ascii="宋体" w:hAnsi="宋体" w:cs="宋体" w:hint="eastAsia"/>
          <w:color w:val="000000"/>
          <w:kern w:val="0"/>
          <w:sz w:val="24"/>
        </w:rPr>
        <w:lastRenderedPageBreak/>
        <w:t>承担。包括但不限于赔偿在该市场引起其他托管客户交易失败、赔偿因占用结算参与人最低备付金带来的利息损失。</w:t>
      </w:r>
    </w:p>
    <w:p w14:paraId="3E31526A" w14:textId="77777777" w:rsidR="00E3116F" w:rsidRDefault="00821F7A">
      <w:pPr>
        <w:adjustRightInd w:val="0"/>
        <w:snapToGrid w:val="0"/>
        <w:spacing w:line="360" w:lineRule="auto"/>
        <w:ind w:firstLine="480"/>
        <w:rPr>
          <w:rFonts w:ascii="宋体" w:hAnsi="宋体" w:cs="宋体"/>
          <w:color w:val="000000"/>
          <w:kern w:val="0"/>
          <w:sz w:val="24"/>
        </w:rPr>
      </w:pPr>
      <w:r>
        <w:rPr>
          <w:rFonts w:ascii="宋体" w:hAnsi="宋体" w:cs="宋体"/>
          <w:color w:val="000000"/>
          <w:kern w:val="0"/>
          <w:sz w:val="24"/>
        </w:rPr>
        <w:t>3</w:t>
      </w:r>
      <w:r>
        <w:rPr>
          <w:rFonts w:ascii="宋体" w:hAnsi="宋体" w:cs="宋体" w:hint="eastAsia"/>
          <w:color w:val="000000"/>
          <w:kern w:val="0"/>
          <w:sz w:val="24"/>
        </w:rPr>
        <w:t>.交易记录、资金和证券</w:t>
      </w:r>
      <w:r>
        <w:rPr>
          <w:rFonts w:ascii="宋体" w:hAnsi="宋体" w:cs="Arial" w:hint="eastAsia"/>
          <w:sz w:val="24"/>
          <w:lang w:bidi="ar"/>
        </w:rPr>
        <w:t>/期货</w:t>
      </w:r>
      <w:r>
        <w:rPr>
          <w:rFonts w:ascii="宋体" w:hAnsi="宋体" w:cs="宋体" w:hint="eastAsia"/>
          <w:color w:val="000000"/>
          <w:kern w:val="0"/>
          <w:sz w:val="24"/>
        </w:rPr>
        <w:t>账目核对的时间和方式</w:t>
      </w:r>
    </w:p>
    <w:p w14:paraId="05337A83" w14:textId="77777777" w:rsidR="00E3116F" w:rsidRDefault="00821F7A">
      <w:pPr>
        <w:adjustRightInd w:val="0"/>
        <w:snapToGrid w:val="0"/>
        <w:spacing w:line="360" w:lineRule="auto"/>
        <w:ind w:firstLine="480"/>
        <w:rPr>
          <w:rFonts w:ascii="宋体" w:hAnsi="宋体" w:cs="宋体"/>
          <w:color w:val="000000"/>
          <w:kern w:val="0"/>
          <w:sz w:val="24"/>
        </w:rPr>
      </w:pPr>
      <w:r>
        <w:rPr>
          <w:rFonts w:ascii="宋体" w:hAnsi="宋体" w:cs="宋体" w:hint="eastAsia"/>
          <w:color w:val="000000"/>
          <w:kern w:val="0"/>
          <w:sz w:val="24"/>
        </w:rPr>
        <w:t>（1）交易记录的核对</w:t>
      </w:r>
    </w:p>
    <w:p w14:paraId="22EFAA71" w14:textId="77777777" w:rsidR="00E3116F" w:rsidRDefault="00821F7A">
      <w:pPr>
        <w:pStyle w:val="a0"/>
        <w:adjustRightInd w:val="0"/>
        <w:snapToGrid w:val="0"/>
        <w:spacing w:line="360" w:lineRule="auto"/>
        <w:ind w:firstLine="480"/>
        <w:rPr>
          <w:rFonts w:ascii="宋体" w:hAnsi="宋体" w:cs="Arial"/>
          <w:sz w:val="24"/>
        </w:rPr>
      </w:pPr>
      <w:r>
        <w:rPr>
          <w:rFonts w:ascii="宋体" w:hAnsi="宋体" w:cs="Arial" w:hint="eastAsia"/>
          <w:sz w:val="24"/>
        </w:rPr>
        <w:t>基金管理人按日进行交易记录的核对。对外披露净值之前，必须保证当天所有实际交易记录与基金会计账簿上的交易记录完全一致。如果实际交易记录与会计账簿记录不一致，造成基金会计核算不完整或不真实，由此导致的直接损失由基金管理人承担。</w:t>
      </w:r>
    </w:p>
    <w:p w14:paraId="0F65E34E" w14:textId="77777777" w:rsidR="00E3116F" w:rsidRDefault="00821F7A">
      <w:pPr>
        <w:adjustRightInd w:val="0"/>
        <w:snapToGrid w:val="0"/>
        <w:spacing w:line="360" w:lineRule="auto"/>
        <w:ind w:firstLine="480"/>
        <w:rPr>
          <w:rFonts w:ascii="宋体" w:hAnsi="宋体" w:cs="宋体"/>
          <w:color w:val="000000"/>
          <w:kern w:val="0"/>
          <w:sz w:val="24"/>
        </w:rPr>
      </w:pPr>
      <w:r>
        <w:rPr>
          <w:rFonts w:ascii="宋体" w:hAnsi="宋体" w:cs="宋体" w:hint="eastAsia"/>
          <w:color w:val="000000"/>
          <w:kern w:val="0"/>
          <w:sz w:val="24"/>
        </w:rPr>
        <w:t>（2）资金账目的核对</w:t>
      </w:r>
    </w:p>
    <w:p w14:paraId="52CDE00E" w14:textId="77777777" w:rsidR="00E3116F" w:rsidRDefault="00821F7A">
      <w:pPr>
        <w:adjustRightInd w:val="0"/>
        <w:snapToGrid w:val="0"/>
        <w:spacing w:line="360" w:lineRule="auto"/>
        <w:ind w:firstLine="480"/>
        <w:rPr>
          <w:rFonts w:ascii="宋体" w:hAnsi="宋体" w:cs="宋体"/>
          <w:color w:val="000000"/>
          <w:kern w:val="0"/>
          <w:sz w:val="24"/>
        </w:rPr>
      </w:pPr>
      <w:r>
        <w:rPr>
          <w:rFonts w:ascii="宋体" w:hAnsi="宋体" w:cs="宋体" w:hint="eastAsia"/>
          <w:color w:val="000000"/>
          <w:kern w:val="0"/>
          <w:sz w:val="24"/>
        </w:rPr>
        <w:t>资金账目按日核实。</w:t>
      </w:r>
    </w:p>
    <w:p w14:paraId="3F19662F" w14:textId="77777777" w:rsidR="00E3116F" w:rsidRDefault="00821F7A">
      <w:pPr>
        <w:adjustRightInd w:val="0"/>
        <w:snapToGrid w:val="0"/>
        <w:spacing w:line="360" w:lineRule="auto"/>
        <w:ind w:firstLine="480"/>
        <w:rPr>
          <w:rFonts w:ascii="宋体" w:hAnsi="宋体" w:cs="宋体"/>
          <w:color w:val="000000"/>
          <w:kern w:val="0"/>
          <w:sz w:val="24"/>
        </w:rPr>
      </w:pPr>
      <w:r>
        <w:rPr>
          <w:rFonts w:ascii="宋体" w:hAnsi="宋体" w:cs="宋体" w:hint="eastAsia"/>
          <w:color w:val="000000"/>
          <w:kern w:val="0"/>
          <w:sz w:val="24"/>
        </w:rPr>
        <w:t>（3）证券、期货账目的核对</w:t>
      </w:r>
    </w:p>
    <w:p w14:paraId="4C71DE88" w14:textId="77777777" w:rsidR="00E3116F" w:rsidRDefault="00821F7A">
      <w:pPr>
        <w:pStyle w:val="a0"/>
        <w:adjustRightInd w:val="0"/>
        <w:snapToGrid w:val="0"/>
        <w:spacing w:line="360" w:lineRule="auto"/>
        <w:ind w:firstLine="480"/>
        <w:rPr>
          <w:rFonts w:ascii="宋体" w:hAnsi="宋体" w:cs="Arial"/>
          <w:sz w:val="24"/>
        </w:rPr>
      </w:pPr>
      <w:r>
        <w:rPr>
          <w:rFonts w:ascii="宋体" w:hAnsi="宋体" w:cs="Arial" w:hint="eastAsia"/>
          <w:sz w:val="24"/>
        </w:rPr>
        <w:t>基金管理人和基金托管人每个交易日结束后核对基金证券、期货账目，确保双方账目相符。</w:t>
      </w:r>
    </w:p>
    <w:p w14:paraId="1F688658" w14:textId="77777777" w:rsidR="00E3116F" w:rsidRDefault="00821F7A">
      <w:pPr>
        <w:adjustRightInd w:val="0"/>
        <w:snapToGrid w:val="0"/>
        <w:spacing w:line="360" w:lineRule="auto"/>
        <w:ind w:firstLine="480"/>
        <w:rPr>
          <w:rFonts w:ascii="宋体" w:hAnsi="宋体" w:cs="宋体"/>
          <w:color w:val="000000"/>
          <w:kern w:val="0"/>
          <w:sz w:val="24"/>
        </w:rPr>
      </w:pPr>
      <w:r>
        <w:rPr>
          <w:rFonts w:ascii="宋体" w:hAnsi="宋体" w:cs="宋体" w:hint="eastAsia"/>
          <w:color w:val="000000"/>
          <w:kern w:val="0"/>
          <w:sz w:val="24"/>
        </w:rPr>
        <w:t>（三）基金申购和赎回业务处理的基本规定</w:t>
      </w:r>
    </w:p>
    <w:p w14:paraId="07F69306" w14:textId="77777777" w:rsidR="00E3116F" w:rsidRDefault="00821F7A">
      <w:pPr>
        <w:adjustRightInd w:val="0"/>
        <w:snapToGrid w:val="0"/>
        <w:spacing w:line="360" w:lineRule="auto"/>
        <w:ind w:firstLine="480"/>
        <w:rPr>
          <w:rFonts w:ascii="宋体" w:hAnsi="宋体" w:cs="宋体"/>
          <w:color w:val="000000"/>
          <w:kern w:val="0"/>
          <w:sz w:val="24"/>
        </w:rPr>
      </w:pPr>
      <w:r>
        <w:rPr>
          <w:rFonts w:ascii="宋体" w:hAnsi="宋体" w:cs="宋体" w:hint="eastAsia"/>
          <w:color w:val="000000"/>
          <w:kern w:val="0"/>
          <w:sz w:val="24"/>
        </w:rPr>
        <w:t>1.基金份额申购、赎回的确认、清算由基金管理人或其委托的登记机构负责。</w:t>
      </w:r>
    </w:p>
    <w:p w14:paraId="1972F15F" w14:textId="77777777" w:rsidR="00E3116F" w:rsidRDefault="00821F7A">
      <w:pPr>
        <w:adjustRightInd w:val="0"/>
        <w:snapToGrid w:val="0"/>
        <w:spacing w:line="360" w:lineRule="auto"/>
        <w:ind w:firstLine="480"/>
        <w:rPr>
          <w:rFonts w:ascii="宋体" w:hAnsi="宋体" w:cs="宋体"/>
          <w:color w:val="000000"/>
          <w:kern w:val="0"/>
          <w:sz w:val="24"/>
        </w:rPr>
      </w:pPr>
      <w:r>
        <w:rPr>
          <w:rFonts w:ascii="宋体" w:hAnsi="宋体" w:cs="宋体" w:hint="eastAsia"/>
          <w:color w:val="000000"/>
          <w:kern w:val="0"/>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69A29915" w14:textId="77777777" w:rsidR="00E3116F" w:rsidRDefault="00821F7A">
      <w:pPr>
        <w:adjustRightInd w:val="0"/>
        <w:snapToGrid w:val="0"/>
        <w:spacing w:line="360" w:lineRule="auto"/>
        <w:ind w:firstLine="480"/>
        <w:rPr>
          <w:rFonts w:ascii="宋体" w:hAnsi="宋体" w:cs="宋体"/>
          <w:color w:val="000000"/>
          <w:kern w:val="0"/>
          <w:sz w:val="24"/>
        </w:rPr>
      </w:pPr>
      <w:r>
        <w:rPr>
          <w:rFonts w:ascii="宋体" w:hAnsi="宋体" w:cs="宋体" w:hint="eastAsia"/>
          <w:color w:val="000000"/>
          <w:kern w:val="0"/>
          <w:sz w:val="24"/>
        </w:rPr>
        <w:t>3.基金管理人应保证本基金（或本基金管理人委托）的登记机构每个工作日15:00前向基金托管人发送前一开放日上述有关数据，并保证相关数据的准确、完整。</w:t>
      </w:r>
    </w:p>
    <w:p w14:paraId="1DD7B716" w14:textId="77777777" w:rsidR="00E3116F" w:rsidRDefault="00821F7A">
      <w:pPr>
        <w:adjustRightInd w:val="0"/>
        <w:snapToGrid w:val="0"/>
        <w:spacing w:line="360" w:lineRule="auto"/>
        <w:ind w:firstLine="480"/>
        <w:rPr>
          <w:rFonts w:ascii="宋体" w:hAnsi="宋体" w:cs="宋体"/>
          <w:color w:val="000000"/>
          <w:kern w:val="0"/>
          <w:sz w:val="24"/>
        </w:rPr>
      </w:pPr>
      <w:r>
        <w:rPr>
          <w:rFonts w:ascii="宋体" w:hAnsi="宋体" w:cs="宋体" w:hint="eastAsia"/>
          <w:color w:val="000000"/>
          <w:kern w:val="0"/>
          <w:sz w:val="24"/>
        </w:rPr>
        <w:t>4.</w:t>
      </w:r>
      <w:r>
        <w:rPr>
          <w:rFonts w:ascii="宋体" w:hAnsi="宋体" w:cs="Arial" w:hint="eastAsia"/>
          <w:sz w:val="24"/>
        </w:rPr>
        <w:t xml:space="preserve"> 登记机构应通过与基金托管人建立的加密系统发送有关数据，如因各种原因，该系统无法正常发送，双方可协商解决处理方式。基金管理人向基金托管人发送的数据，双方各自按有关规定保存。</w:t>
      </w:r>
    </w:p>
    <w:p w14:paraId="0D4FD095" w14:textId="77777777" w:rsidR="00E3116F" w:rsidRDefault="00821F7A">
      <w:pPr>
        <w:adjustRightInd w:val="0"/>
        <w:snapToGrid w:val="0"/>
        <w:spacing w:line="360" w:lineRule="auto"/>
        <w:ind w:firstLine="480"/>
        <w:rPr>
          <w:rFonts w:ascii="宋体" w:hAnsi="宋体" w:cs="宋体"/>
          <w:color w:val="000000"/>
          <w:kern w:val="0"/>
          <w:sz w:val="24"/>
        </w:rPr>
      </w:pPr>
      <w:r>
        <w:rPr>
          <w:rFonts w:ascii="宋体" w:hAnsi="宋体" w:cs="宋体" w:hint="eastAsia"/>
          <w:color w:val="000000"/>
          <w:kern w:val="0"/>
          <w:sz w:val="24"/>
        </w:rPr>
        <w:t>5.如基金管理人委托其他机构办理本基金的登记业务，应保证上述相关事宜按时进行。否则，由基金管理人承担相应的责任。</w:t>
      </w:r>
    </w:p>
    <w:p w14:paraId="4A019FB2" w14:textId="77777777" w:rsidR="00E3116F" w:rsidRDefault="00821F7A">
      <w:pPr>
        <w:adjustRightInd w:val="0"/>
        <w:snapToGrid w:val="0"/>
        <w:spacing w:line="360" w:lineRule="auto"/>
        <w:ind w:firstLine="480"/>
        <w:rPr>
          <w:rFonts w:ascii="宋体" w:hAnsi="宋体" w:cs="宋体"/>
          <w:color w:val="000000"/>
          <w:kern w:val="0"/>
          <w:sz w:val="24"/>
        </w:rPr>
      </w:pPr>
      <w:r>
        <w:rPr>
          <w:rFonts w:ascii="宋体" w:hAnsi="宋体" w:cs="宋体" w:hint="eastAsia"/>
          <w:color w:val="000000"/>
          <w:kern w:val="0"/>
          <w:sz w:val="24"/>
        </w:rPr>
        <w:t>6.关于清算专用账户的设立和管理</w:t>
      </w:r>
    </w:p>
    <w:p w14:paraId="3B585904" w14:textId="77777777" w:rsidR="00E3116F" w:rsidRDefault="00821F7A">
      <w:pPr>
        <w:adjustRightInd w:val="0"/>
        <w:snapToGrid w:val="0"/>
        <w:spacing w:line="360" w:lineRule="auto"/>
        <w:ind w:firstLine="480"/>
        <w:rPr>
          <w:rFonts w:ascii="宋体" w:hAnsi="宋体" w:cs="宋体"/>
          <w:color w:val="000000"/>
          <w:kern w:val="0"/>
          <w:sz w:val="24"/>
        </w:rPr>
      </w:pPr>
      <w:r>
        <w:rPr>
          <w:rFonts w:ascii="宋体" w:hAnsi="宋体" w:cs="宋体" w:hint="eastAsia"/>
          <w:color w:val="000000"/>
          <w:kern w:val="0"/>
          <w:sz w:val="24"/>
        </w:rPr>
        <w:t>为满足申购、赎回及分红资金汇划的需要，由基金管理人开立资金清算的专用账户，该账户由登记机构管理。</w:t>
      </w:r>
    </w:p>
    <w:p w14:paraId="475BB0C4" w14:textId="77777777" w:rsidR="00E3116F" w:rsidRDefault="00821F7A">
      <w:pPr>
        <w:adjustRightInd w:val="0"/>
        <w:snapToGrid w:val="0"/>
        <w:spacing w:line="360" w:lineRule="auto"/>
        <w:ind w:firstLine="480"/>
        <w:rPr>
          <w:rFonts w:ascii="宋体" w:hAnsi="宋体" w:cs="宋体"/>
          <w:color w:val="000000"/>
          <w:kern w:val="0"/>
          <w:sz w:val="24"/>
        </w:rPr>
      </w:pPr>
      <w:r>
        <w:rPr>
          <w:rFonts w:ascii="宋体" w:hAnsi="宋体" w:cs="宋体" w:hint="eastAsia"/>
          <w:color w:val="000000"/>
          <w:kern w:val="0"/>
          <w:sz w:val="24"/>
        </w:rPr>
        <w:lastRenderedPageBreak/>
        <w:t>7.对于基金申购过程中产生的应收款，应由基金管理人负责与有关当事人确定到账日期并通知基金托管人，到账日应收款没有到达基金托管资金账户的，基金托管人应及时通知基金管理人采取措施进行催收，由此造成基金损失的，基金管理人应负责向有关当事人追偿基金的损失，基金托管人应予以必要的协助和配合。</w:t>
      </w:r>
    </w:p>
    <w:p w14:paraId="445B4D18" w14:textId="77777777" w:rsidR="00E3116F" w:rsidRDefault="00821F7A">
      <w:pPr>
        <w:adjustRightInd w:val="0"/>
        <w:snapToGrid w:val="0"/>
        <w:spacing w:line="360" w:lineRule="auto"/>
        <w:ind w:firstLine="480"/>
        <w:rPr>
          <w:rFonts w:ascii="宋体" w:hAnsi="宋体" w:cs="宋体"/>
          <w:color w:val="000000"/>
          <w:kern w:val="0"/>
          <w:sz w:val="24"/>
        </w:rPr>
      </w:pPr>
      <w:r>
        <w:rPr>
          <w:rFonts w:ascii="宋体" w:hAnsi="宋体" w:cs="宋体" w:hint="eastAsia"/>
          <w:color w:val="000000"/>
          <w:kern w:val="0"/>
          <w:sz w:val="24"/>
        </w:rPr>
        <w:t>8.赎回和分红资金划拨规定</w:t>
      </w:r>
    </w:p>
    <w:p w14:paraId="7DA95D65" w14:textId="77777777" w:rsidR="00E3116F" w:rsidRDefault="00821F7A">
      <w:pPr>
        <w:adjustRightInd w:val="0"/>
        <w:snapToGrid w:val="0"/>
        <w:spacing w:line="360" w:lineRule="auto"/>
        <w:ind w:firstLine="480"/>
        <w:rPr>
          <w:rFonts w:ascii="宋体" w:hAnsi="宋体" w:cs="宋体"/>
          <w:color w:val="000000"/>
          <w:kern w:val="0"/>
          <w:sz w:val="24"/>
        </w:rPr>
      </w:pPr>
      <w:r>
        <w:rPr>
          <w:rFonts w:ascii="宋体" w:hAnsi="宋体" w:cs="宋体" w:hint="eastAsia"/>
          <w:color w:val="000000"/>
          <w:kern w:val="0"/>
          <w:sz w:val="24"/>
        </w:rPr>
        <w:t>拨付赎回款或进行基金分红时，如基金托管资金账户有足够的资金，基金托管人应按时拨付；因基金托管资金账户没有足够的资金，导致基金托管人不能按时拨付，基金托管人应及时通知基金管理人，如系基金管理人的原因造成，责任由基金管理人承担，基金托管人不承担垫款义务。</w:t>
      </w:r>
    </w:p>
    <w:p w14:paraId="120CB6F2" w14:textId="77777777" w:rsidR="00E3116F" w:rsidRDefault="00821F7A">
      <w:pPr>
        <w:adjustRightInd w:val="0"/>
        <w:snapToGrid w:val="0"/>
        <w:spacing w:line="360" w:lineRule="auto"/>
        <w:ind w:firstLine="480"/>
        <w:rPr>
          <w:rFonts w:ascii="宋体" w:hAnsi="宋体" w:cs="宋体"/>
          <w:color w:val="000000"/>
          <w:kern w:val="0"/>
          <w:sz w:val="24"/>
        </w:rPr>
      </w:pPr>
      <w:r>
        <w:rPr>
          <w:rFonts w:ascii="宋体" w:hAnsi="宋体" w:cs="宋体" w:hint="eastAsia"/>
          <w:color w:val="000000"/>
          <w:kern w:val="0"/>
          <w:sz w:val="24"/>
        </w:rPr>
        <w:t>9.资金指令</w:t>
      </w:r>
    </w:p>
    <w:p w14:paraId="0CD31099" w14:textId="77777777" w:rsidR="00E3116F" w:rsidRDefault="00821F7A">
      <w:pPr>
        <w:adjustRightInd w:val="0"/>
        <w:snapToGrid w:val="0"/>
        <w:spacing w:line="360" w:lineRule="auto"/>
        <w:ind w:firstLine="480"/>
        <w:rPr>
          <w:rFonts w:ascii="宋体" w:hAnsi="宋体" w:cs="宋体"/>
          <w:color w:val="000000"/>
          <w:kern w:val="0"/>
          <w:sz w:val="24"/>
        </w:rPr>
      </w:pPr>
      <w:r>
        <w:rPr>
          <w:rFonts w:ascii="宋体" w:hAnsi="宋体" w:cs="宋体" w:hint="eastAsia"/>
          <w:color w:val="000000"/>
          <w:kern w:val="0"/>
          <w:sz w:val="24"/>
        </w:rPr>
        <w:t>除申购款项到达基金托管资金账户需双方按约定方式对账外，回购到期付款和与投资有关的付款、赎回和分红资金划拨时，基金管理人需向基金托管人下达指令。</w:t>
      </w:r>
    </w:p>
    <w:p w14:paraId="165CB364" w14:textId="77777777" w:rsidR="00E3116F" w:rsidRDefault="00821F7A">
      <w:pPr>
        <w:adjustRightInd w:val="0"/>
        <w:snapToGrid w:val="0"/>
        <w:spacing w:line="360" w:lineRule="auto"/>
        <w:ind w:firstLine="480"/>
        <w:rPr>
          <w:rFonts w:ascii="宋体" w:hAnsi="宋体" w:cs="宋体"/>
          <w:color w:val="000000"/>
          <w:kern w:val="0"/>
          <w:sz w:val="24"/>
        </w:rPr>
      </w:pPr>
      <w:r>
        <w:rPr>
          <w:rFonts w:ascii="宋体" w:hAnsi="宋体" w:cs="宋体" w:hint="eastAsia"/>
          <w:color w:val="000000"/>
          <w:kern w:val="0"/>
          <w:sz w:val="24"/>
        </w:rPr>
        <w:t>资金指令的格式、内容、发送、接收和确认方式等与投资指令相同。</w:t>
      </w:r>
    </w:p>
    <w:p w14:paraId="7D5AB993" w14:textId="77777777" w:rsidR="00E3116F" w:rsidRDefault="00821F7A">
      <w:pPr>
        <w:adjustRightInd w:val="0"/>
        <w:snapToGrid w:val="0"/>
        <w:spacing w:line="360" w:lineRule="auto"/>
        <w:ind w:firstLine="480"/>
        <w:rPr>
          <w:rFonts w:ascii="宋体" w:hAnsi="宋体" w:cs="宋体"/>
          <w:color w:val="000000"/>
          <w:kern w:val="0"/>
          <w:sz w:val="24"/>
        </w:rPr>
      </w:pPr>
      <w:r>
        <w:rPr>
          <w:rFonts w:ascii="宋体" w:hAnsi="宋体" w:cs="宋体" w:hint="eastAsia"/>
          <w:color w:val="000000"/>
          <w:kern w:val="0"/>
          <w:sz w:val="24"/>
        </w:rPr>
        <w:t>（四）申赎净额结算</w:t>
      </w:r>
    </w:p>
    <w:p w14:paraId="1C8E29BA" w14:textId="583B565A" w:rsidR="00E3116F" w:rsidRPr="00C814CF" w:rsidRDefault="00821F7A">
      <w:pPr>
        <w:adjustRightInd w:val="0"/>
        <w:snapToGrid w:val="0"/>
        <w:spacing w:line="360" w:lineRule="auto"/>
        <w:ind w:firstLine="480"/>
        <w:rPr>
          <w:rFonts w:ascii="宋体" w:hAnsi="宋体" w:cs="宋体"/>
          <w:color w:val="000000"/>
          <w:kern w:val="0"/>
          <w:sz w:val="24"/>
        </w:rPr>
      </w:pPr>
      <w:r>
        <w:rPr>
          <w:rFonts w:ascii="宋体" w:hAnsi="宋体" w:cs="宋体" w:hint="eastAsia"/>
          <w:color w:val="000000"/>
          <w:kern w:val="0"/>
          <w:sz w:val="24"/>
        </w:rPr>
        <w:t>基金托管资金账户与“基金清算账户”间的资金结算遵循“全额清算、净额交收”的原则，每日</w:t>
      </w:r>
      <w:r w:rsidR="0013461B" w:rsidRPr="00C814CF">
        <w:rPr>
          <w:rFonts w:ascii="宋体" w:hAnsi="宋体" w:cs="宋体" w:hint="eastAsia"/>
          <w:color w:val="000000"/>
          <w:kern w:val="0"/>
          <w:sz w:val="24"/>
        </w:rPr>
        <w:t>(T日：资金交收日，下同)</w:t>
      </w:r>
      <w:r>
        <w:rPr>
          <w:rFonts w:ascii="宋体" w:hAnsi="宋体" w:cs="宋体" w:hint="eastAsia"/>
          <w:color w:val="000000"/>
          <w:kern w:val="0"/>
          <w:sz w:val="24"/>
        </w:rPr>
        <w:t>按照托管资金账户应收资金与应付资金的差额来确定托管资金账户净应收额或净应付额，以此确定资金交收额。当存在托管资金账户净应收额时，基金管理人应</w:t>
      </w:r>
      <w:r w:rsidR="00ED7094" w:rsidRPr="00C814CF">
        <w:rPr>
          <w:rFonts w:ascii="宋体" w:hAnsi="宋体" w:cs="宋体" w:hint="eastAsia"/>
          <w:color w:val="000000"/>
          <w:kern w:val="0"/>
          <w:sz w:val="24"/>
        </w:rPr>
        <w:t>在T日15:00之前</w:t>
      </w:r>
      <w:r>
        <w:rPr>
          <w:rFonts w:ascii="宋体" w:hAnsi="宋体" w:cs="宋体"/>
          <w:color w:val="000000"/>
          <w:kern w:val="0"/>
          <w:sz w:val="24"/>
        </w:rPr>
        <w:t>从基金清算账户划到基金托管</w:t>
      </w:r>
      <w:r>
        <w:rPr>
          <w:rFonts w:ascii="宋体" w:hAnsi="宋体" w:cs="宋体" w:hint="eastAsia"/>
          <w:color w:val="000000"/>
          <w:kern w:val="0"/>
          <w:sz w:val="24"/>
        </w:rPr>
        <w:t>资金账户；当存在托管资金账户净应付额时，基金管理人应</w:t>
      </w:r>
      <w:r w:rsidR="00ED7094" w:rsidRPr="00C814CF">
        <w:rPr>
          <w:rFonts w:ascii="宋体" w:hAnsi="宋体" w:cs="宋体" w:hint="eastAsia"/>
          <w:color w:val="000000"/>
          <w:kern w:val="0"/>
          <w:sz w:val="24"/>
        </w:rPr>
        <w:t>在T-1日</w:t>
      </w:r>
      <w:r>
        <w:rPr>
          <w:rFonts w:ascii="宋体" w:hAnsi="宋体" w:cs="宋体" w:hint="eastAsia"/>
          <w:color w:val="000000"/>
          <w:kern w:val="0"/>
          <w:sz w:val="24"/>
        </w:rPr>
        <w:t>将划款指令发送给基金托管人，基金托管人按基金管理人的划款指令将托管资金账户净应付额</w:t>
      </w:r>
      <w:r w:rsidR="00ED7094" w:rsidRPr="00C814CF">
        <w:rPr>
          <w:rFonts w:ascii="宋体" w:hAnsi="宋体" w:cs="宋体" w:hint="eastAsia"/>
          <w:color w:val="000000"/>
          <w:kern w:val="0"/>
          <w:sz w:val="24"/>
        </w:rPr>
        <w:t>在T日12:00之前</w:t>
      </w:r>
      <w:r>
        <w:rPr>
          <w:rFonts w:ascii="宋体" w:hAnsi="宋体" w:cs="宋体" w:hint="eastAsia"/>
          <w:color w:val="000000"/>
          <w:kern w:val="0"/>
          <w:sz w:val="24"/>
        </w:rPr>
        <w:t>划往基金清算账户。</w:t>
      </w:r>
    </w:p>
    <w:p w14:paraId="170F495A" w14:textId="77777777" w:rsidR="00E3116F" w:rsidRDefault="00821F7A">
      <w:pPr>
        <w:adjustRightInd w:val="0"/>
        <w:snapToGrid w:val="0"/>
        <w:spacing w:line="360" w:lineRule="auto"/>
        <w:ind w:firstLine="480"/>
        <w:rPr>
          <w:rFonts w:ascii="宋体" w:hAnsi="宋体" w:cs="宋体"/>
          <w:color w:val="000000"/>
          <w:kern w:val="0"/>
          <w:sz w:val="24"/>
        </w:rPr>
      </w:pPr>
      <w:r>
        <w:rPr>
          <w:rFonts w:ascii="宋体" w:hAnsi="宋体" w:cs="宋体" w:hint="eastAsia"/>
          <w:color w:val="000000"/>
          <w:kern w:val="0"/>
          <w:sz w:val="24"/>
        </w:rPr>
        <w:t>（五）基金转换</w:t>
      </w:r>
    </w:p>
    <w:p w14:paraId="407DACA1" w14:textId="77777777" w:rsidR="00E3116F" w:rsidRDefault="00821F7A">
      <w:pPr>
        <w:adjustRightInd w:val="0"/>
        <w:snapToGrid w:val="0"/>
        <w:spacing w:line="360" w:lineRule="auto"/>
        <w:ind w:firstLine="480"/>
        <w:rPr>
          <w:rFonts w:ascii="宋体" w:hAnsi="宋体" w:cs="宋体"/>
          <w:color w:val="000000"/>
          <w:kern w:val="0"/>
          <w:sz w:val="24"/>
        </w:rPr>
      </w:pPr>
      <w:r>
        <w:rPr>
          <w:rFonts w:ascii="宋体" w:hAnsi="宋体" w:cs="宋体" w:hint="eastAsia"/>
          <w:color w:val="000000"/>
          <w:kern w:val="0"/>
          <w:sz w:val="24"/>
        </w:rPr>
        <w:t>1.在本基金开展转换业务之前，基金管理人应函告基金托管人并就相关事宜进行协商。</w:t>
      </w:r>
    </w:p>
    <w:p w14:paraId="30547967" w14:textId="77777777" w:rsidR="00E3116F" w:rsidRDefault="00821F7A">
      <w:pPr>
        <w:adjustRightInd w:val="0"/>
        <w:snapToGrid w:val="0"/>
        <w:spacing w:line="360" w:lineRule="auto"/>
        <w:ind w:firstLine="480"/>
        <w:rPr>
          <w:rFonts w:ascii="宋体" w:hAnsi="宋体" w:cs="宋体"/>
          <w:color w:val="000000"/>
          <w:kern w:val="0"/>
          <w:sz w:val="24"/>
        </w:rPr>
      </w:pPr>
      <w:r>
        <w:rPr>
          <w:rFonts w:ascii="宋体" w:hAnsi="宋体" w:cs="宋体" w:hint="eastAsia"/>
          <w:color w:val="000000"/>
          <w:kern w:val="0"/>
          <w:sz w:val="24"/>
        </w:rPr>
        <w:t>2.基金托管人将根据基金管理人传送的基金转换数据进行账务处理，具体资金清算和数据传递的时间、程序及托管协议当事人承担的权责按基金管理人届时的公告执行。</w:t>
      </w:r>
    </w:p>
    <w:p w14:paraId="33C220E3" w14:textId="77777777" w:rsidR="00E3116F" w:rsidRDefault="00821F7A">
      <w:pPr>
        <w:adjustRightInd w:val="0"/>
        <w:snapToGrid w:val="0"/>
        <w:spacing w:line="360" w:lineRule="auto"/>
        <w:ind w:firstLine="480"/>
        <w:rPr>
          <w:rFonts w:ascii="宋体" w:hAnsi="宋体" w:cs="宋体"/>
          <w:color w:val="000000"/>
          <w:kern w:val="0"/>
          <w:sz w:val="24"/>
        </w:rPr>
      </w:pPr>
      <w:r>
        <w:rPr>
          <w:rFonts w:ascii="宋体" w:hAnsi="宋体" w:cs="宋体" w:hint="eastAsia"/>
          <w:color w:val="000000"/>
          <w:kern w:val="0"/>
          <w:sz w:val="24"/>
        </w:rPr>
        <w:t>3.本基金开展基金转换业务应按相关法律法规规定及《基金合同》的约定进行公告。</w:t>
      </w:r>
    </w:p>
    <w:p w14:paraId="39746E58" w14:textId="77777777" w:rsidR="00E3116F" w:rsidRDefault="00821F7A">
      <w:pPr>
        <w:adjustRightInd w:val="0"/>
        <w:snapToGrid w:val="0"/>
        <w:spacing w:line="360" w:lineRule="auto"/>
        <w:ind w:firstLine="480"/>
        <w:rPr>
          <w:rFonts w:ascii="宋体" w:hAnsi="宋体" w:cs="宋体"/>
          <w:color w:val="000000"/>
          <w:kern w:val="0"/>
          <w:sz w:val="24"/>
        </w:rPr>
      </w:pPr>
      <w:r>
        <w:rPr>
          <w:rFonts w:ascii="宋体" w:hAnsi="宋体" w:cs="宋体" w:hint="eastAsia"/>
          <w:color w:val="000000"/>
          <w:kern w:val="0"/>
          <w:sz w:val="24"/>
        </w:rPr>
        <w:lastRenderedPageBreak/>
        <w:t>（六）基金现金分红</w:t>
      </w:r>
    </w:p>
    <w:p w14:paraId="42BA038E" w14:textId="77777777" w:rsidR="00E3116F" w:rsidRDefault="00821F7A">
      <w:pPr>
        <w:adjustRightInd w:val="0"/>
        <w:snapToGrid w:val="0"/>
        <w:spacing w:line="360" w:lineRule="auto"/>
        <w:ind w:firstLine="480"/>
        <w:rPr>
          <w:rFonts w:ascii="宋体" w:hAnsi="宋体" w:cs="宋体"/>
          <w:color w:val="000000"/>
          <w:kern w:val="0"/>
          <w:sz w:val="24"/>
        </w:rPr>
      </w:pPr>
      <w:r>
        <w:rPr>
          <w:rFonts w:ascii="宋体" w:hAnsi="宋体" w:cs="宋体" w:hint="eastAsia"/>
          <w:color w:val="000000"/>
          <w:kern w:val="0"/>
          <w:sz w:val="24"/>
        </w:rPr>
        <w:t>1.基金管理人确定分红方案通知基金托管人，双方核定后依照《信息披露办法》的有关规定在规定媒介上公告。</w:t>
      </w:r>
    </w:p>
    <w:p w14:paraId="75273367" w14:textId="77777777" w:rsidR="00E3116F" w:rsidRDefault="00821F7A">
      <w:pPr>
        <w:adjustRightInd w:val="0"/>
        <w:snapToGrid w:val="0"/>
        <w:spacing w:line="360" w:lineRule="auto"/>
        <w:ind w:firstLine="480"/>
        <w:rPr>
          <w:rFonts w:ascii="宋体" w:hAnsi="宋体" w:cs="宋体"/>
          <w:color w:val="000000"/>
          <w:kern w:val="0"/>
          <w:sz w:val="24"/>
        </w:rPr>
      </w:pPr>
      <w:r>
        <w:rPr>
          <w:rFonts w:ascii="宋体" w:hAnsi="宋体" w:cs="宋体" w:hint="eastAsia"/>
          <w:color w:val="000000"/>
          <w:kern w:val="0"/>
          <w:sz w:val="24"/>
        </w:rPr>
        <w:t>2.基金托管人和基金管理人对基金分红进行账务处理并核对后，基金管理人向基金托管人发送现金红利的划款指令，基金托管人应及时将资金划入专用账户。</w:t>
      </w:r>
    </w:p>
    <w:p w14:paraId="7BEBE7EE" w14:textId="77777777" w:rsidR="00E3116F" w:rsidRDefault="00821F7A">
      <w:pPr>
        <w:adjustRightInd w:val="0"/>
        <w:snapToGrid w:val="0"/>
        <w:spacing w:line="360" w:lineRule="auto"/>
        <w:ind w:firstLine="480"/>
        <w:rPr>
          <w:rFonts w:ascii="宋体" w:hAnsi="宋体" w:cs="宋体"/>
          <w:color w:val="000000"/>
          <w:kern w:val="0"/>
          <w:sz w:val="24"/>
        </w:rPr>
      </w:pPr>
      <w:r>
        <w:rPr>
          <w:rFonts w:ascii="宋体" w:hAnsi="宋体" w:cs="宋体" w:hint="eastAsia"/>
          <w:color w:val="000000"/>
          <w:kern w:val="0"/>
          <w:sz w:val="24"/>
        </w:rPr>
        <w:t>3.基金管理人在下达指令时，应给基金托管人留出必需的划款时间。</w:t>
      </w:r>
    </w:p>
    <w:p w14:paraId="242D9CDC" w14:textId="77777777" w:rsidR="00E3116F" w:rsidRDefault="00821F7A">
      <w:pPr>
        <w:adjustRightInd w:val="0"/>
        <w:snapToGrid w:val="0"/>
        <w:spacing w:line="360" w:lineRule="auto"/>
        <w:ind w:firstLine="480"/>
        <w:rPr>
          <w:rFonts w:ascii="宋体" w:hAnsi="宋体" w:cs="宋体"/>
          <w:color w:val="000000"/>
          <w:kern w:val="0"/>
          <w:sz w:val="24"/>
        </w:rPr>
      </w:pPr>
      <w:r>
        <w:rPr>
          <w:rFonts w:ascii="宋体" w:hAnsi="宋体" w:cs="宋体" w:hint="eastAsia"/>
          <w:color w:val="000000"/>
          <w:kern w:val="0"/>
          <w:sz w:val="24"/>
        </w:rPr>
        <w:t>（七）投资银行存款的特别约定</w:t>
      </w:r>
    </w:p>
    <w:p w14:paraId="04E76018" w14:textId="77777777" w:rsidR="00E3116F" w:rsidRDefault="00821F7A">
      <w:pPr>
        <w:adjustRightInd w:val="0"/>
        <w:snapToGrid w:val="0"/>
        <w:spacing w:line="360" w:lineRule="auto"/>
        <w:ind w:firstLine="480"/>
        <w:rPr>
          <w:rFonts w:ascii="宋体" w:hAnsi="宋体" w:cs="宋体"/>
          <w:color w:val="000000"/>
          <w:kern w:val="0"/>
          <w:sz w:val="24"/>
        </w:rPr>
      </w:pPr>
      <w:r>
        <w:rPr>
          <w:rFonts w:ascii="宋体" w:hAnsi="宋体" w:cs="宋体" w:hint="eastAsia"/>
          <w:color w:val="000000"/>
          <w:kern w:val="0"/>
          <w:sz w:val="24"/>
        </w:rPr>
        <w:t>1.本基金投资银行存款前，基金管理人应与存款银行签订具体存款协议，包括但不限于以下内容：</w:t>
      </w:r>
    </w:p>
    <w:p w14:paraId="3B5E26BA" w14:textId="77777777" w:rsidR="00E3116F" w:rsidRDefault="00821F7A">
      <w:pPr>
        <w:adjustRightInd w:val="0"/>
        <w:snapToGrid w:val="0"/>
        <w:spacing w:line="360" w:lineRule="auto"/>
        <w:ind w:firstLine="480"/>
        <w:rPr>
          <w:rFonts w:ascii="宋体" w:hAnsi="宋体" w:cs="宋体"/>
          <w:color w:val="000000"/>
          <w:kern w:val="0"/>
          <w:sz w:val="24"/>
        </w:rPr>
      </w:pPr>
      <w:r>
        <w:rPr>
          <w:rFonts w:ascii="宋体" w:hAnsi="宋体" w:cs="宋体" w:hint="eastAsia"/>
          <w:color w:val="000000"/>
          <w:kern w:val="0"/>
          <w:sz w:val="24"/>
        </w:rPr>
        <w:t>（1）存款账户必须以本基金名义开立，并将基金托管人为本基金开立的基金托管资金账户指定为唯一回款账户，任何情况下，存款银行都不得将存款投资本息划往任何其他账户。</w:t>
      </w:r>
    </w:p>
    <w:p w14:paraId="7A9FF81C" w14:textId="77777777" w:rsidR="00E3116F" w:rsidRDefault="00821F7A">
      <w:pPr>
        <w:adjustRightInd w:val="0"/>
        <w:snapToGrid w:val="0"/>
        <w:spacing w:line="360" w:lineRule="auto"/>
        <w:ind w:firstLine="480"/>
        <w:rPr>
          <w:rFonts w:ascii="宋体" w:hAnsi="宋体" w:cs="宋体"/>
          <w:color w:val="000000"/>
          <w:kern w:val="0"/>
          <w:sz w:val="24"/>
        </w:rPr>
      </w:pPr>
      <w:r>
        <w:rPr>
          <w:rFonts w:ascii="宋体" w:hAnsi="宋体" w:cs="宋体" w:hint="eastAsia"/>
          <w:color w:val="000000"/>
          <w:kern w:val="0"/>
          <w:sz w:val="24"/>
        </w:rPr>
        <w:t>（2）存款银行不得接受基金管理人或基金托管人任何一方单方面提出的对存款进行更名、转让、挂失、质押、担保、撤销、变更印鉴及回款账户信息等可能导致财产转移的操作申请。</w:t>
      </w:r>
    </w:p>
    <w:p w14:paraId="65FE49C6" w14:textId="77777777" w:rsidR="00E3116F" w:rsidRDefault="00821F7A">
      <w:pPr>
        <w:adjustRightInd w:val="0"/>
        <w:snapToGrid w:val="0"/>
        <w:spacing w:line="360" w:lineRule="auto"/>
        <w:ind w:firstLine="480"/>
        <w:rPr>
          <w:rFonts w:ascii="宋体" w:hAnsi="宋体" w:cs="宋体"/>
          <w:color w:val="000000"/>
          <w:kern w:val="0"/>
          <w:sz w:val="24"/>
        </w:rPr>
      </w:pPr>
      <w:r>
        <w:rPr>
          <w:rFonts w:ascii="宋体" w:hAnsi="宋体" w:cs="宋体" w:hint="eastAsia"/>
          <w:color w:val="000000"/>
          <w:kern w:val="0"/>
          <w:sz w:val="24"/>
        </w:rPr>
        <w:t>（3）约定存款证实书的具体传递交接方式及交接期限。</w:t>
      </w:r>
    </w:p>
    <w:p w14:paraId="676117A7" w14:textId="77777777" w:rsidR="00E3116F" w:rsidRDefault="00821F7A">
      <w:pPr>
        <w:adjustRightInd w:val="0"/>
        <w:snapToGrid w:val="0"/>
        <w:spacing w:line="360" w:lineRule="auto"/>
        <w:ind w:firstLine="480"/>
        <w:rPr>
          <w:rFonts w:ascii="宋体" w:hAnsi="宋体" w:cs="宋体"/>
          <w:color w:val="000000"/>
          <w:kern w:val="0"/>
          <w:sz w:val="24"/>
        </w:rPr>
      </w:pPr>
      <w:r>
        <w:rPr>
          <w:rFonts w:ascii="宋体" w:hAnsi="宋体" w:cs="宋体" w:hint="eastAsia"/>
          <w:color w:val="000000"/>
          <w:kern w:val="0"/>
          <w:sz w:val="24"/>
        </w:rPr>
        <w:t>（4）资金划转过程中需要使用存款银行过渡账户的，存款银行须保证资金在过渡账户中不出现滞留，不被挪用。</w:t>
      </w:r>
    </w:p>
    <w:p w14:paraId="12D562FF" w14:textId="77777777" w:rsidR="00E3116F" w:rsidRDefault="00821F7A">
      <w:pPr>
        <w:adjustRightInd w:val="0"/>
        <w:snapToGrid w:val="0"/>
        <w:spacing w:line="360" w:lineRule="auto"/>
        <w:ind w:firstLine="480"/>
        <w:rPr>
          <w:rFonts w:ascii="宋体" w:hAnsi="宋体" w:cs="宋体"/>
          <w:color w:val="000000"/>
          <w:kern w:val="0"/>
          <w:sz w:val="24"/>
        </w:rPr>
      </w:pPr>
      <w:r>
        <w:rPr>
          <w:rFonts w:ascii="宋体" w:hAnsi="宋体" w:cs="宋体" w:hint="eastAsia"/>
          <w:color w:val="000000"/>
          <w:kern w:val="0"/>
          <w:sz w:val="24"/>
        </w:rPr>
        <w:t>2.本基金投资银行存款，必须采用双方认可的方式办理。基金托管人负责依据基金管理人提供的银行存款投资合同/协议、投资指令、支取通知等有关文件办理资金的支付以及存款证实书的接收、保管与交付，切实履行托管职责。基金托管人负责对存款开户证实书进行保管，不负责对存款开户证实书真伪的辨别，不承担存款开户证实书对应存款的本金及收益的安全。</w:t>
      </w:r>
    </w:p>
    <w:p w14:paraId="1F4397BF" w14:textId="77777777" w:rsidR="00E3116F" w:rsidRDefault="00821F7A">
      <w:pPr>
        <w:adjustRightInd w:val="0"/>
        <w:snapToGrid w:val="0"/>
        <w:spacing w:line="360" w:lineRule="auto"/>
        <w:ind w:firstLine="480"/>
        <w:rPr>
          <w:rFonts w:ascii="宋体" w:hAnsi="宋体" w:cs="宋体"/>
          <w:color w:val="000000"/>
          <w:kern w:val="0"/>
          <w:sz w:val="24"/>
        </w:rPr>
      </w:pPr>
      <w:r>
        <w:rPr>
          <w:rFonts w:ascii="宋体" w:hAnsi="宋体" w:cs="宋体" w:hint="eastAsia"/>
          <w:color w:val="000000"/>
          <w:kern w:val="0"/>
          <w:sz w:val="24"/>
        </w:rPr>
        <w:t>3.</w:t>
      </w:r>
      <w:r>
        <w:rPr>
          <w:rFonts w:ascii="宋体" w:hAnsi="宋体" w:cs="Arial" w:hint="eastAsia"/>
          <w:sz w:val="24"/>
        </w:rPr>
        <w:t>基金管理人投资银行存款或办理存款支取时，应提前书面通知基金托管人，以便基金托管人有足够的时间履行相应的业务操作程序。因发生逾期支取、提前支取或部分提前支取，基金托管人不承担相应利息损失及逾期支取手续费。</w:t>
      </w:r>
    </w:p>
    <w:p w14:paraId="39140FFF" w14:textId="77777777" w:rsidR="00E3116F" w:rsidRDefault="00821F7A">
      <w:pPr>
        <w:adjustRightInd w:val="0"/>
        <w:snapToGrid w:val="0"/>
        <w:spacing w:line="360" w:lineRule="auto"/>
        <w:ind w:firstLine="480"/>
        <w:rPr>
          <w:rFonts w:ascii="彩虹粗仿宋" w:eastAsia="彩虹粗仿宋" w:hAnsi="宋体" w:cs="Arial"/>
          <w:sz w:val="24"/>
        </w:rPr>
      </w:pPr>
      <w:r>
        <w:rPr>
          <w:rFonts w:ascii="宋体" w:hAnsi="宋体" w:cs="宋体" w:hint="eastAsia"/>
          <w:color w:val="000000"/>
          <w:kern w:val="0"/>
          <w:sz w:val="24"/>
        </w:rPr>
        <w:t>4.对于已移交基金托管人保管的存款开户证实书等实物凭证，基金托管人应确保安全保管；对未按约定将存款开户证实书等实物凭证移交基金托管人保管的，基金托管人应向基金管理人进行必要的催缴和风险提示；提示后仍不将相关实物凭证送达基金托管人保管的，出于托管履职和尽责，基金托管人可视情况采取必要</w:t>
      </w:r>
      <w:r>
        <w:rPr>
          <w:rFonts w:ascii="宋体" w:hAnsi="宋体" w:cs="宋体" w:hint="eastAsia"/>
          <w:color w:val="000000"/>
          <w:kern w:val="0"/>
          <w:sz w:val="24"/>
        </w:rPr>
        <w:lastRenderedPageBreak/>
        <w:t>的风险控制措施：（1）建立风险预警机制，对于实物凭证未送达集中度较高的存款银行，主动发函基金管理人尽量避免在此类银行进行存款投资；（2）在定期报告中，对未按约定送达基金托管人保管的实物凭证信息进行规定范围信息披露；（3）未送达实物凭证超过送单截止日后30个工作日，且累计超过3笔（含）以上的，部分或全部暂停配合基金管理人办理后续新增存款投资业务，直至实物凭证送达基金托管人保管后解除。实物凭证未送达但存款本息已安全划回托管资金账户的，以及因发生特殊情况由基金管理人提供相关书面说明并重新承诺送单截止时间的，可剔除不计。</w:t>
      </w:r>
    </w:p>
    <w:p w14:paraId="635A1FEB" w14:textId="31E40D1A" w:rsidR="00E3116F" w:rsidRPr="00C814CF" w:rsidRDefault="001012A4">
      <w:pPr>
        <w:adjustRightInd w:val="0"/>
        <w:snapToGrid w:val="0"/>
        <w:spacing w:line="360" w:lineRule="auto"/>
        <w:ind w:firstLineChars="200" w:firstLine="480"/>
        <w:rPr>
          <w:rFonts w:ascii="宋体" w:hAnsi="宋体" w:cs="宋体"/>
          <w:color w:val="000000"/>
          <w:kern w:val="0"/>
          <w:sz w:val="24"/>
        </w:rPr>
      </w:pPr>
      <w:r w:rsidRPr="00C814CF">
        <w:rPr>
          <w:rFonts w:ascii="宋体" w:hAnsi="宋体" w:cs="宋体" w:hint="eastAsia"/>
          <w:color w:val="000000"/>
          <w:kern w:val="0"/>
          <w:sz w:val="24"/>
        </w:rPr>
        <w:t>5.基金管理人拟投资境外定期存款时应事先告知基金托管人，对于该投资要求与上述内容不符的，基金托管人经评估后有权拒绝办理相关业务，并及时与管理人沟通协商，由此产生的损失托管人不承担任何责任。</w:t>
      </w:r>
    </w:p>
    <w:p w14:paraId="1387733C" w14:textId="77777777" w:rsidR="00E3116F" w:rsidRDefault="00821F7A">
      <w:pPr>
        <w:pStyle w:val="2"/>
        <w:spacing w:line="360" w:lineRule="auto"/>
        <w:jc w:val="center"/>
        <w:rPr>
          <w:rFonts w:ascii="宋体" w:eastAsia="宋体" w:hAnsi="宋体"/>
          <w:sz w:val="30"/>
        </w:rPr>
      </w:pPr>
      <w:bookmarkStart w:id="92" w:name="_Toc516758902"/>
      <w:bookmarkStart w:id="93" w:name="_Hlk83905487"/>
      <w:r>
        <w:rPr>
          <w:rFonts w:ascii="宋体" w:eastAsia="宋体" w:hAnsi="宋体" w:hint="eastAsia"/>
          <w:sz w:val="30"/>
        </w:rPr>
        <w:t>八、基金资产净值计算和会计核算</w:t>
      </w:r>
      <w:bookmarkEnd w:id="92"/>
    </w:p>
    <w:p w14:paraId="4E5C77BF" w14:textId="77777777" w:rsidR="00E3116F" w:rsidRDefault="00821F7A">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（一）基金资产净值的计算、复核与完成的时间及程序</w:t>
      </w:r>
    </w:p>
    <w:p w14:paraId="4C6AC802" w14:textId="4E68881E"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1.</w:t>
      </w:r>
      <w:bookmarkStart w:id="94" w:name="_Hlk172127629"/>
      <w:r>
        <w:rPr>
          <w:rFonts w:ascii="宋体" w:hAnsi="宋体" w:cs="Arial" w:hint="eastAsia"/>
          <w:sz w:val="24"/>
        </w:rPr>
        <w:t>基金资产净值是指基金资产总值减去负债后的金额。</w:t>
      </w:r>
      <w:r w:rsidR="00526877">
        <w:rPr>
          <w:rFonts w:ascii="宋体" w:hAnsi="宋体" w:hint="eastAsia"/>
          <w:bCs/>
          <w:sz w:val="24"/>
          <w:szCs w:val="24"/>
        </w:rPr>
        <w:t>各类基金份额净值是按照每个估值日</w:t>
      </w:r>
      <w:r w:rsidR="00F824BC">
        <w:rPr>
          <w:rFonts w:ascii="宋体" w:hAnsi="宋体" w:hint="eastAsia"/>
          <w:bCs/>
          <w:sz w:val="24"/>
          <w:szCs w:val="24"/>
        </w:rPr>
        <w:t>闭市后，</w:t>
      </w:r>
      <w:r w:rsidR="00526877">
        <w:rPr>
          <w:rFonts w:ascii="宋体" w:hAnsi="宋体" w:hint="eastAsia"/>
          <w:bCs/>
          <w:sz w:val="24"/>
          <w:szCs w:val="24"/>
        </w:rPr>
        <w:t>各类基金份额的基金资产净值分别除以当日该类基金份额的余额数量计算，均精确到0.0001元，小数点后第5位四舍五入。基金管理人可以设立大额赎回情形下的净值精度应急调整机制。国家另有规定的，从其规定</w:t>
      </w:r>
      <w:r>
        <w:rPr>
          <w:rFonts w:ascii="宋体" w:hAnsi="宋体" w:cs="Arial" w:hint="eastAsia"/>
          <w:sz w:val="24"/>
        </w:rPr>
        <w:t>。</w:t>
      </w:r>
    </w:p>
    <w:p w14:paraId="6E8E138C" w14:textId="55074EE9"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基金</w:t>
      </w:r>
      <w:r>
        <w:rPr>
          <w:rFonts w:ascii="宋体" w:hAnsi="宋体" w:cs="Arial"/>
          <w:sz w:val="24"/>
        </w:rPr>
        <w:t>管理人</w:t>
      </w:r>
      <w:r w:rsidR="00526877">
        <w:rPr>
          <w:rFonts w:ascii="宋体" w:hAnsi="宋体" w:cs="Arial" w:hint="eastAsia"/>
          <w:sz w:val="24"/>
        </w:rPr>
        <w:t>于</w:t>
      </w:r>
      <w:r>
        <w:rPr>
          <w:rFonts w:ascii="宋体" w:hAnsi="宋体" w:cs="Arial" w:hint="eastAsia"/>
          <w:sz w:val="24"/>
        </w:rPr>
        <w:t>每个估值日计算基金资产净值及</w:t>
      </w:r>
      <w:r w:rsidR="00716A20">
        <w:rPr>
          <w:rFonts w:ascii="宋体" w:hAnsi="宋体" w:cs="Arial" w:hint="eastAsia"/>
          <w:sz w:val="24"/>
        </w:rPr>
        <w:t>各类</w:t>
      </w:r>
      <w:r>
        <w:rPr>
          <w:rFonts w:ascii="宋体" w:hAnsi="宋体" w:cs="Arial" w:hint="eastAsia"/>
          <w:sz w:val="24"/>
        </w:rPr>
        <w:t>基金份额净值，经基金托管人复核，并按规定公告。如遇特殊情况，</w:t>
      </w:r>
      <w:r>
        <w:rPr>
          <w:rFonts w:ascii="宋体" w:hAnsi="宋体" w:cs="Arial" w:hint="eastAsia"/>
          <w:bCs/>
          <w:sz w:val="24"/>
        </w:rPr>
        <w:t>经履行适当程序，</w:t>
      </w:r>
      <w:r>
        <w:rPr>
          <w:rFonts w:ascii="宋体" w:hAnsi="宋体" w:cs="Arial" w:hint="eastAsia"/>
          <w:sz w:val="24"/>
        </w:rPr>
        <w:t>可以适当延迟计算或公告。</w:t>
      </w:r>
    </w:p>
    <w:bookmarkEnd w:id="94"/>
    <w:p w14:paraId="66047874" w14:textId="771CB9F8" w:rsidR="003B0C37" w:rsidRPr="00F824BC" w:rsidRDefault="00821F7A" w:rsidP="00F824BC">
      <w:pPr>
        <w:adjustRightInd w:val="0"/>
        <w:snapToGrid w:val="0"/>
        <w:spacing w:line="360" w:lineRule="auto"/>
        <w:ind w:firstLineChars="200" w:firstLine="480"/>
        <w:rPr>
          <w:rFonts w:ascii="宋体" w:hAnsi="宋体" w:cs="Arial"/>
          <w:sz w:val="24"/>
        </w:rPr>
      </w:pPr>
      <w:r>
        <w:rPr>
          <w:rFonts w:ascii="宋体" w:hAnsi="宋体" w:cs="Arial" w:hint="eastAsia"/>
          <w:sz w:val="24"/>
        </w:rPr>
        <w:t>2.</w:t>
      </w:r>
      <w:r w:rsidR="003B0C37" w:rsidRPr="00F824BC">
        <w:rPr>
          <w:rFonts w:ascii="宋体" w:hAnsi="宋体" w:cs="Arial" w:hint="eastAsia"/>
          <w:sz w:val="24"/>
        </w:rPr>
        <w:t>复核程序</w:t>
      </w:r>
    </w:p>
    <w:p w14:paraId="548DE0B7" w14:textId="77777777" w:rsidR="003B0C37" w:rsidRPr="00F824BC" w:rsidRDefault="003B0C37" w:rsidP="00F824BC">
      <w:pPr>
        <w:adjustRightInd w:val="0"/>
        <w:snapToGrid w:val="0"/>
        <w:spacing w:line="360" w:lineRule="auto"/>
        <w:ind w:firstLineChars="200" w:firstLine="480"/>
        <w:rPr>
          <w:rFonts w:ascii="宋体" w:hAnsi="宋体" w:cs="Arial"/>
          <w:sz w:val="24"/>
        </w:rPr>
      </w:pPr>
      <w:r w:rsidRPr="00F824BC">
        <w:rPr>
          <w:rFonts w:ascii="宋体" w:hAnsi="宋体" w:cs="Arial" w:hint="eastAsia"/>
          <w:sz w:val="24"/>
        </w:rPr>
        <w:t>用于基金信息披露的基金资产净值和基金份额净值由基金管理人负责计算，基金托管人负责进行复核。基金管理人应于每个估值日估值时间点计算基金资产净值并发送给基金托管人，经基金托管人复核无误后，由基金管理人按约定对外公布。但基金管理人根据法律法规或《基金合同》的规定暂停估值时除外。</w:t>
      </w:r>
    </w:p>
    <w:p w14:paraId="5B90C643" w14:textId="7367A87D" w:rsidR="00E3116F" w:rsidRDefault="003B0C37" w:rsidP="00F824BC">
      <w:pPr>
        <w:spacing w:line="360" w:lineRule="auto"/>
        <w:ind w:firstLineChars="200" w:firstLine="480"/>
        <w:rPr>
          <w:rFonts w:ascii="宋体" w:hAnsi="宋体" w:cs="Arial"/>
          <w:sz w:val="24"/>
        </w:rPr>
      </w:pPr>
      <w:r w:rsidRPr="00F824BC">
        <w:rPr>
          <w:rFonts w:ascii="宋体" w:hAnsi="宋体" w:cs="Arial"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w:t>
      </w:r>
      <w:r w:rsidRPr="00F824BC">
        <w:rPr>
          <w:rFonts w:ascii="宋体" w:hAnsi="宋体" w:cs="Arial" w:hint="eastAsia"/>
          <w:sz w:val="24"/>
        </w:rPr>
        <w:lastRenderedPageBreak/>
        <w:t>管理人对基金资产净值的计算结果对外予以公布。</w:t>
      </w:r>
    </w:p>
    <w:p w14:paraId="5C12E176" w14:textId="77777777" w:rsidR="00E3116F" w:rsidRDefault="00821F7A">
      <w:pPr>
        <w:spacing w:line="360" w:lineRule="auto"/>
        <w:ind w:firstLineChars="200" w:firstLine="480"/>
        <w:rPr>
          <w:rFonts w:ascii="宋体" w:hAnsi="宋体" w:cs="Arial"/>
          <w:sz w:val="24"/>
        </w:rPr>
      </w:pPr>
      <w:bookmarkStart w:id="95" w:name="_Hlk172127639"/>
      <w:bookmarkStart w:id="96" w:name="_Hlk83905631"/>
      <w:r>
        <w:rPr>
          <w:rFonts w:ascii="宋体" w:hAnsi="宋体" w:cs="Arial" w:hint="eastAsia"/>
          <w:sz w:val="24"/>
        </w:rPr>
        <w:t>（二）基金资产估值方法和特殊情形的处理</w:t>
      </w:r>
    </w:p>
    <w:p w14:paraId="5B606600" w14:textId="77777777" w:rsidR="00E3116F" w:rsidRDefault="00821F7A">
      <w:pPr>
        <w:spacing w:line="360" w:lineRule="auto"/>
        <w:ind w:firstLineChars="200" w:firstLine="480"/>
        <w:rPr>
          <w:rFonts w:ascii="宋体" w:hAnsi="宋体" w:cs="Arial"/>
          <w:sz w:val="24"/>
        </w:rPr>
      </w:pPr>
      <w:r>
        <w:rPr>
          <w:rFonts w:ascii="宋体" w:hAnsi="宋体" w:cs="Arial" w:hint="eastAsia"/>
          <w:sz w:val="24"/>
        </w:rPr>
        <w:t>1.估值对象</w:t>
      </w:r>
    </w:p>
    <w:p w14:paraId="5E66BAEF" w14:textId="77777777" w:rsidR="00E3116F" w:rsidRDefault="00821F7A">
      <w:pPr>
        <w:spacing w:line="360" w:lineRule="auto"/>
        <w:ind w:firstLineChars="200" w:firstLine="480"/>
        <w:rPr>
          <w:rFonts w:ascii="宋体" w:hAnsi="宋体" w:cs="Arial"/>
          <w:sz w:val="24"/>
        </w:rPr>
      </w:pPr>
      <w:r>
        <w:rPr>
          <w:rFonts w:ascii="宋体" w:hAnsi="宋体" w:hint="eastAsia"/>
          <w:bCs/>
          <w:sz w:val="24"/>
          <w:szCs w:val="24"/>
        </w:rPr>
        <w:t>基金所拥有的股票、股指期货合约、国债期货合约、股票期权合约、债券和银行存款本息、资产支持证券、应收款项、其它投资等资产及负债。</w:t>
      </w:r>
    </w:p>
    <w:p w14:paraId="5B792FDD" w14:textId="77777777" w:rsidR="00E3116F" w:rsidRDefault="00821F7A">
      <w:pPr>
        <w:spacing w:line="360" w:lineRule="auto"/>
        <w:ind w:firstLineChars="200" w:firstLine="480"/>
        <w:rPr>
          <w:rFonts w:ascii="宋体" w:hAnsi="宋体" w:cs="Arial"/>
          <w:sz w:val="24"/>
        </w:rPr>
      </w:pPr>
      <w:r>
        <w:rPr>
          <w:rFonts w:ascii="宋体" w:hAnsi="宋体" w:cs="Arial" w:hint="eastAsia"/>
          <w:sz w:val="24"/>
        </w:rPr>
        <w:t>2.估值方法</w:t>
      </w:r>
    </w:p>
    <w:p w14:paraId="6E9249A2" w14:textId="77777777" w:rsidR="00E3116F" w:rsidRDefault="00821F7A">
      <w:pPr>
        <w:adjustRightInd w:val="0"/>
        <w:snapToGrid w:val="0"/>
        <w:spacing w:line="360" w:lineRule="auto"/>
        <w:ind w:firstLine="480"/>
        <w:rPr>
          <w:rFonts w:ascii="宋体" w:hAnsi="宋体"/>
          <w:bCs/>
          <w:sz w:val="24"/>
          <w:szCs w:val="24"/>
        </w:rPr>
      </w:pPr>
      <w:r>
        <w:rPr>
          <w:rFonts w:ascii="宋体" w:hAnsi="宋体" w:hint="eastAsia"/>
          <w:bCs/>
          <w:sz w:val="24"/>
          <w:szCs w:val="24"/>
        </w:rPr>
        <w:t>（1）证券交易所上市的有价证券的估值</w:t>
      </w:r>
    </w:p>
    <w:p w14:paraId="397357CA" w14:textId="77777777" w:rsidR="00E3116F" w:rsidRDefault="00821F7A">
      <w:pPr>
        <w:adjustRightInd w:val="0"/>
        <w:snapToGrid w:val="0"/>
        <w:spacing w:line="360" w:lineRule="auto"/>
        <w:ind w:firstLine="480"/>
        <w:rPr>
          <w:rFonts w:ascii="宋体" w:hAnsi="宋体"/>
          <w:bCs/>
          <w:sz w:val="24"/>
          <w:szCs w:val="24"/>
        </w:rPr>
      </w:pPr>
      <w:r>
        <w:rPr>
          <w:rFonts w:ascii="宋体" w:hAnsi="宋体" w:hint="eastAsia"/>
          <w:bCs/>
          <w:sz w:val="24"/>
          <w:szCs w:val="24"/>
        </w:rPr>
        <w:t>1）交易所上市的有价证券（包括股票等），以其估值日在证券交易所挂牌的市价（收盘价）估值；估值日无市价，但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值；</w:t>
      </w:r>
    </w:p>
    <w:p w14:paraId="187C9A38" w14:textId="77777777" w:rsidR="00E3116F" w:rsidRDefault="00821F7A">
      <w:pPr>
        <w:adjustRightInd w:val="0"/>
        <w:snapToGrid w:val="0"/>
        <w:spacing w:line="360" w:lineRule="auto"/>
        <w:ind w:firstLine="480"/>
        <w:rPr>
          <w:rFonts w:ascii="宋体" w:hAnsi="宋体"/>
          <w:bCs/>
          <w:sz w:val="24"/>
          <w:szCs w:val="24"/>
        </w:rPr>
      </w:pPr>
      <w:r>
        <w:rPr>
          <w:rFonts w:ascii="宋体" w:hAnsi="宋体" w:hint="eastAsia"/>
          <w:bCs/>
          <w:sz w:val="24"/>
          <w:szCs w:val="24"/>
        </w:rPr>
        <w:t>2）对于已上市或已挂牌转让的不含权固定收益品种（法规另有规定的除外），选取第三方估值基准服务机构提供的相应品种当日的估值全价，基金管理人根据相关法律、法规的规定进行涉税处理（下同）。对于已上市或已挂牌转让的含权固定收益品种（法规另有规定的除外），选取第三方估值基准服务机构提供的相应品种当日的唯一估值全价或推荐估值全价。对于含投资者回售权的固定收益品种，行使回售权的，在回售登记日至实际收款日期间选取第三方估值基准服务机构提供的相应品种的唯一估值全价或推荐估值全价，同时充分考虑发行人的信用风险变化对公允价值的影响。回售登记期截止日（含当日）后未行使回售权的按照长待偿期所对应的价格进行估值。如最近交易日后经济环境发生了重大变化的，可参考类似投资品种的现行市价及重大变化因素，调整最近交易市价，确定公允价值；</w:t>
      </w:r>
    </w:p>
    <w:p w14:paraId="3A993083" w14:textId="77777777" w:rsidR="00E3116F" w:rsidRDefault="00821F7A">
      <w:pPr>
        <w:adjustRightInd w:val="0"/>
        <w:snapToGrid w:val="0"/>
        <w:spacing w:line="360" w:lineRule="auto"/>
        <w:ind w:firstLine="480"/>
        <w:rPr>
          <w:rFonts w:ascii="宋体" w:hAnsi="宋体"/>
          <w:bCs/>
          <w:sz w:val="24"/>
          <w:szCs w:val="24"/>
        </w:rPr>
      </w:pPr>
      <w:r>
        <w:rPr>
          <w:rFonts w:ascii="宋体" w:hAnsi="宋体" w:hint="eastAsia"/>
          <w:bCs/>
          <w:sz w:val="24"/>
          <w:szCs w:val="24"/>
        </w:rPr>
        <w:t>3）交易所上市交易的公开发行的可转换公司债券等有活跃市场的含转股权的债券，实行全价交易的债券选取估值日收盘价作为估值全价；实行净价交易的债券选取估值日收盘价并加计每百元税前应计利息作为估值全价。估值日没有交易的，且最近交易日后经济环境未发生重大变化，按最近交易日债券收盘价并加计每百元税前应计利息作为估值全价。如最近交易日后经济环境发生了重大变化的，可参考类似投资品种的现行市价及重大变化因素，调整最近交易市价，确定公允价值；</w:t>
      </w:r>
    </w:p>
    <w:p w14:paraId="10A2C76E" w14:textId="77777777" w:rsidR="00E3116F" w:rsidRDefault="00821F7A">
      <w:pPr>
        <w:adjustRightInd w:val="0"/>
        <w:snapToGrid w:val="0"/>
        <w:spacing w:line="360" w:lineRule="auto"/>
        <w:ind w:firstLine="480"/>
        <w:rPr>
          <w:rFonts w:ascii="宋体" w:hAnsi="宋体"/>
          <w:bCs/>
          <w:sz w:val="24"/>
          <w:szCs w:val="24"/>
        </w:rPr>
      </w:pPr>
      <w:r>
        <w:rPr>
          <w:rFonts w:ascii="宋体" w:hAnsi="宋体" w:hint="eastAsia"/>
          <w:bCs/>
          <w:sz w:val="24"/>
          <w:szCs w:val="24"/>
        </w:rPr>
        <w:t>4）本基金投资存托凭证的估值核算，依照境内上市交易的股票执行。</w:t>
      </w:r>
    </w:p>
    <w:p w14:paraId="24BB7CDE" w14:textId="77777777" w:rsidR="00E3116F" w:rsidRDefault="00821F7A">
      <w:pPr>
        <w:adjustRightInd w:val="0"/>
        <w:snapToGrid w:val="0"/>
        <w:spacing w:line="360" w:lineRule="auto"/>
        <w:ind w:firstLine="480"/>
        <w:rPr>
          <w:rFonts w:ascii="宋体" w:hAnsi="宋体"/>
          <w:bCs/>
          <w:sz w:val="24"/>
          <w:szCs w:val="24"/>
        </w:rPr>
      </w:pPr>
      <w:r>
        <w:rPr>
          <w:rFonts w:ascii="宋体" w:hAnsi="宋体" w:hint="eastAsia"/>
          <w:bCs/>
          <w:sz w:val="24"/>
          <w:szCs w:val="24"/>
        </w:rPr>
        <w:lastRenderedPageBreak/>
        <w:t>（2）处于未上市期间的有价证券应区分如下情况处理：</w:t>
      </w:r>
    </w:p>
    <w:p w14:paraId="3F076E0D" w14:textId="77777777" w:rsidR="00E3116F" w:rsidRDefault="00821F7A">
      <w:pPr>
        <w:adjustRightInd w:val="0"/>
        <w:snapToGrid w:val="0"/>
        <w:spacing w:line="360" w:lineRule="auto"/>
        <w:ind w:firstLine="480"/>
        <w:rPr>
          <w:rFonts w:ascii="宋体" w:hAnsi="宋体"/>
          <w:bCs/>
          <w:sz w:val="24"/>
          <w:szCs w:val="24"/>
        </w:rPr>
      </w:pPr>
      <w:r>
        <w:rPr>
          <w:rFonts w:ascii="宋体" w:hAnsi="宋体" w:hint="eastAsia"/>
          <w:bCs/>
          <w:sz w:val="24"/>
          <w:szCs w:val="24"/>
        </w:rPr>
        <w:t>1）送股、转增股、配股和公开增发的股票，按估值日在证券交易所挂牌的同一股票的估值方法估值；该日无交易的，以最近一日的市价（收盘价）估值；</w:t>
      </w:r>
    </w:p>
    <w:p w14:paraId="1D4A8BEF" w14:textId="77777777" w:rsidR="00E3116F" w:rsidRDefault="00821F7A">
      <w:pPr>
        <w:adjustRightInd w:val="0"/>
        <w:snapToGrid w:val="0"/>
        <w:spacing w:line="360" w:lineRule="auto"/>
        <w:ind w:firstLine="480"/>
        <w:rPr>
          <w:rFonts w:ascii="宋体" w:hAnsi="宋体"/>
          <w:bCs/>
          <w:sz w:val="24"/>
          <w:szCs w:val="24"/>
        </w:rPr>
      </w:pPr>
      <w:r>
        <w:rPr>
          <w:rFonts w:ascii="宋体" w:hAnsi="宋体" w:hint="eastAsia"/>
          <w:bCs/>
          <w:sz w:val="24"/>
          <w:szCs w:val="24"/>
        </w:rPr>
        <w:t>2）首次公开发行未上市的股票，采用估值技术确定公允价值；</w:t>
      </w:r>
    </w:p>
    <w:p w14:paraId="765D625B" w14:textId="6AB7A976" w:rsidR="00E3116F" w:rsidRDefault="00821F7A">
      <w:pPr>
        <w:adjustRightInd w:val="0"/>
        <w:snapToGrid w:val="0"/>
        <w:spacing w:line="360" w:lineRule="auto"/>
        <w:ind w:firstLine="480"/>
        <w:rPr>
          <w:rFonts w:ascii="宋体" w:hAnsi="宋体"/>
          <w:bCs/>
          <w:sz w:val="24"/>
          <w:szCs w:val="24"/>
        </w:rPr>
      </w:pPr>
      <w:r>
        <w:rPr>
          <w:rFonts w:ascii="宋体" w:hAnsi="宋体" w:hint="eastAsia"/>
          <w:bCs/>
          <w:sz w:val="24"/>
          <w:szCs w:val="24"/>
        </w:rPr>
        <w:t>3）</w:t>
      </w:r>
      <w:r w:rsidR="00E76685" w:rsidRPr="00F824BC">
        <w:rPr>
          <w:rFonts w:ascii="宋体" w:hAnsi="宋体" w:hint="eastAsia"/>
          <w:bCs/>
          <w:sz w:val="24"/>
          <w:szCs w:val="24"/>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1252300B" w14:textId="77777777" w:rsidR="00E3116F" w:rsidRDefault="00821F7A">
      <w:pPr>
        <w:adjustRightInd w:val="0"/>
        <w:snapToGrid w:val="0"/>
        <w:spacing w:line="360" w:lineRule="auto"/>
        <w:ind w:firstLine="480"/>
        <w:rPr>
          <w:rFonts w:ascii="宋体" w:hAnsi="宋体"/>
          <w:bCs/>
          <w:sz w:val="24"/>
          <w:szCs w:val="24"/>
        </w:rPr>
      </w:pPr>
      <w:r>
        <w:rPr>
          <w:rFonts w:ascii="宋体" w:hAnsi="宋体" w:hint="eastAsia"/>
          <w:bCs/>
          <w:sz w:val="24"/>
          <w:szCs w:val="24"/>
        </w:rPr>
        <w:t>4）对于未上市或未挂牌转让且不存在活跃市场的固定收益品种，采用在当前情况下适用并且有足够可利用数据和其他信息支持的估值技术确定其公允价值。</w:t>
      </w:r>
    </w:p>
    <w:p w14:paraId="60C2C7BA" w14:textId="10EFF41F" w:rsidR="00E76685" w:rsidRPr="00F824BC" w:rsidRDefault="00821F7A" w:rsidP="00F51322">
      <w:pPr>
        <w:adjustRightInd w:val="0"/>
        <w:snapToGrid w:val="0"/>
        <w:spacing w:line="360" w:lineRule="auto"/>
        <w:ind w:firstLine="480"/>
        <w:rPr>
          <w:rFonts w:ascii="宋体" w:hAnsi="宋体"/>
          <w:bCs/>
          <w:sz w:val="24"/>
          <w:szCs w:val="24"/>
        </w:rPr>
      </w:pPr>
      <w:r>
        <w:rPr>
          <w:rFonts w:ascii="宋体" w:hAnsi="宋体" w:hint="eastAsia"/>
          <w:bCs/>
          <w:sz w:val="24"/>
          <w:szCs w:val="24"/>
        </w:rPr>
        <w:t>（3）对全国银行间市场已上市或已挂牌转让的不含权固定收益品种（法规另有规定的除外），选取第三方估值基准服务机构提供的相应品种当日的估值全价，基金管理人根据相关法律、法规的规定进行涉税处理（下同）。对于已上市或已挂牌转让的含权固定收益品种（法规另有规定的除外），选取第三方估值基准服务机构提供的相应品种当日的唯一估值全价或推荐估值全价。对于含投资者回售权的固定收益品种，行使回售权的，在回售登记日至实际收款日期间选取第三方估值基准服务机构提供的相应品种的唯一估值全价或推荐估值全价，同时充分考虑发行人的信用风险变化对公允价值的影响。回售登记期截止日（含当日）后未行使回售权的按照长待偿期所对应的价格进行估值。如最近交易日后经济环境发生了重大变化的，可参考类似投资品种的现行市价及重大变化因素，调整最近交易市价，确定公允价值。</w:t>
      </w:r>
    </w:p>
    <w:p w14:paraId="2B751EDC" w14:textId="6074F6D1" w:rsidR="00E76685" w:rsidRPr="00F824BC" w:rsidRDefault="00E76685" w:rsidP="00F824BC">
      <w:pPr>
        <w:adjustRightInd w:val="0"/>
        <w:snapToGrid w:val="0"/>
        <w:spacing w:line="360" w:lineRule="auto"/>
        <w:ind w:firstLineChars="200" w:firstLine="480"/>
        <w:rPr>
          <w:rFonts w:ascii="宋体" w:hAnsi="宋体"/>
          <w:bCs/>
          <w:sz w:val="24"/>
          <w:szCs w:val="24"/>
        </w:rPr>
      </w:pPr>
      <w:r w:rsidRPr="00F824BC">
        <w:rPr>
          <w:rFonts w:ascii="宋体" w:hAnsi="宋体" w:hint="eastAsia"/>
          <w:bCs/>
          <w:sz w:val="24"/>
          <w:szCs w:val="24"/>
        </w:rPr>
        <w:t>（</w:t>
      </w:r>
      <w:r w:rsidR="00F51322">
        <w:rPr>
          <w:rFonts w:ascii="宋体" w:hAnsi="宋体"/>
          <w:bCs/>
          <w:sz w:val="24"/>
          <w:szCs w:val="24"/>
        </w:rPr>
        <w:t>4</w:t>
      </w:r>
      <w:r w:rsidRPr="00F824BC">
        <w:rPr>
          <w:rFonts w:ascii="宋体" w:hAnsi="宋体" w:hint="eastAsia"/>
          <w:bCs/>
          <w:sz w:val="24"/>
          <w:szCs w:val="24"/>
        </w:rPr>
        <w:t>）投资证券衍生品的估值方法</w:t>
      </w:r>
    </w:p>
    <w:p w14:paraId="212C03B3" w14:textId="25325C02" w:rsidR="00F51322" w:rsidRPr="00F51322" w:rsidRDefault="00F51322" w:rsidP="00F51322">
      <w:pPr>
        <w:adjustRightInd w:val="0"/>
        <w:snapToGrid w:val="0"/>
        <w:spacing w:line="360" w:lineRule="auto"/>
        <w:ind w:firstLineChars="200" w:firstLine="480"/>
        <w:rPr>
          <w:rFonts w:ascii="宋体" w:hAnsi="宋体"/>
          <w:bCs/>
          <w:sz w:val="24"/>
          <w:szCs w:val="24"/>
        </w:rPr>
      </w:pPr>
      <w:r w:rsidRPr="00F51322">
        <w:rPr>
          <w:rFonts w:ascii="宋体" w:hAnsi="宋体" w:hint="eastAsia"/>
          <w:bCs/>
          <w:sz w:val="24"/>
          <w:szCs w:val="24"/>
        </w:rPr>
        <w:t>1）上市流通衍生工具按估值日当日其所在证券交易所的收盘价估值；估值日无交易的，以最近交易日的收盘价估值；</w:t>
      </w:r>
    </w:p>
    <w:p w14:paraId="696EAE7C" w14:textId="7BC98B8A" w:rsidR="00E76685" w:rsidRPr="00E76685" w:rsidRDefault="00F51322" w:rsidP="00F824BC">
      <w:pPr>
        <w:adjustRightInd w:val="0"/>
        <w:snapToGrid w:val="0"/>
        <w:spacing w:line="360" w:lineRule="auto"/>
        <w:ind w:firstLine="480"/>
        <w:rPr>
          <w:rFonts w:ascii="宋体" w:hAnsi="宋体"/>
          <w:bCs/>
          <w:sz w:val="24"/>
          <w:szCs w:val="24"/>
        </w:rPr>
      </w:pPr>
      <w:r w:rsidRPr="00F51322">
        <w:rPr>
          <w:rFonts w:ascii="宋体" w:hAnsi="宋体" w:hint="eastAsia"/>
          <w:bCs/>
          <w:sz w:val="24"/>
          <w:szCs w:val="24"/>
        </w:rPr>
        <w:t>2）非上市衍生品依据最近一个交易日可取得的主要做市商或其他权威价格提供机构的报价进行估值，或采用估值技术确定公允价值。</w:t>
      </w:r>
    </w:p>
    <w:p w14:paraId="5D948F43" w14:textId="7DFB17AD" w:rsidR="00E3116F" w:rsidRDefault="00821F7A" w:rsidP="007A1772">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sidR="00F51322">
        <w:rPr>
          <w:rFonts w:ascii="宋体" w:hAnsi="宋体"/>
          <w:bCs/>
          <w:sz w:val="24"/>
          <w:szCs w:val="24"/>
        </w:rPr>
        <w:t>5</w:t>
      </w:r>
      <w:r>
        <w:rPr>
          <w:rFonts w:ascii="宋体" w:hAnsi="宋体" w:hint="eastAsia"/>
          <w:bCs/>
          <w:sz w:val="24"/>
          <w:szCs w:val="24"/>
        </w:rPr>
        <w:t>）同一证券同时在两个或两个以上市场交易的，按其所处的市场分别估值。</w:t>
      </w:r>
    </w:p>
    <w:p w14:paraId="7C4EB41C" w14:textId="24C85371" w:rsidR="00E3116F" w:rsidRDefault="00821F7A">
      <w:pPr>
        <w:adjustRightInd w:val="0"/>
        <w:snapToGrid w:val="0"/>
        <w:spacing w:line="360" w:lineRule="auto"/>
        <w:ind w:firstLine="480"/>
        <w:rPr>
          <w:rFonts w:ascii="宋体" w:hAnsi="宋体"/>
          <w:bCs/>
          <w:sz w:val="24"/>
          <w:szCs w:val="24"/>
        </w:rPr>
      </w:pPr>
      <w:r>
        <w:rPr>
          <w:rFonts w:ascii="宋体" w:hAnsi="宋体" w:hint="eastAsia"/>
          <w:bCs/>
          <w:sz w:val="24"/>
          <w:szCs w:val="24"/>
        </w:rPr>
        <w:t>（</w:t>
      </w:r>
      <w:r w:rsidR="00F51322">
        <w:rPr>
          <w:rFonts w:ascii="宋体" w:hAnsi="宋体"/>
          <w:bCs/>
          <w:sz w:val="24"/>
          <w:szCs w:val="24"/>
        </w:rPr>
        <w:t>6</w:t>
      </w:r>
      <w:r>
        <w:rPr>
          <w:rFonts w:ascii="宋体" w:hAnsi="宋体" w:hint="eastAsia"/>
          <w:bCs/>
          <w:sz w:val="24"/>
          <w:szCs w:val="24"/>
        </w:rPr>
        <w:t>）本基金持有的回购以摊余成本列示，按合同利率在回购期间内逐日计提应收或应付利息。</w:t>
      </w:r>
    </w:p>
    <w:p w14:paraId="2BA1A92A" w14:textId="3435D8D0" w:rsidR="00E3116F" w:rsidRDefault="00821F7A">
      <w:pPr>
        <w:adjustRightInd w:val="0"/>
        <w:snapToGrid w:val="0"/>
        <w:spacing w:line="360" w:lineRule="auto"/>
        <w:ind w:firstLine="480"/>
        <w:rPr>
          <w:rFonts w:ascii="宋体" w:hAnsi="宋体"/>
          <w:bCs/>
          <w:sz w:val="24"/>
          <w:szCs w:val="24"/>
        </w:rPr>
      </w:pPr>
      <w:r>
        <w:rPr>
          <w:rFonts w:ascii="宋体" w:hAnsi="宋体" w:hint="eastAsia"/>
          <w:bCs/>
          <w:sz w:val="24"/>
          <w:szCs w:val="24"/>
        </w:rPr>
        <w:t>（</w:t>
      </w:r>
      <w:r w:rsidR="00F51322">
        <w:rPr>
          <w:rFonts w:ascii="宋体" w:hAnsi="宋体"/>
          <w:bCs/>
          <w:sz w:val="24"/>
          <w:szCs w:val="24"/>
        </w:rPr>
        <w:t>7</w:t>
      </w:r>
      <w:r>
        <w:rPr>
          <w:rFonts w:ascii="宋体" w:hAnsi="宋体" w:hint="eastAsia"/>
          <w:bCs/>
          <w:sz w:val="24"/>
          <w:szCs w:val="24"/>
        </w:rPr>
        <w:t>）本基金持有的银行存款和备付金余额以摊余成本列示，按相应利率逐日</w:t>
      </w:r>
      <w:r>
        <w:rPr>
          <w:rFonts w:ascii="宋体" w:hAnsi="宋体" w:hint="eastAsia"/>
          <w:bCs/>
          <w:sz w:val="24"/>
          <w:szCs w:val="24"/>
        </w:rPr>
        <w:lastRenderedPageBreak/>
        <w:t>计提利息。</w:t>
      </w:r>
    </w:p>
    <w:p w14:paraId="23EB253E" w14:textId="10CB7756" w:rsidR="00E3116F" w:rsidRDefault="00821F7A">
      <w:pPr>
        <w:adjustRightInd w:val="0"/>
        <w:snapToGrid w:val="0"/>
        <w:spacing w:line="360" w:lineRule="auto"/>
        <w:ind w:firstLine="480"/>
        <w:rPr>
          <w:rFonts w:ascii="宋体" w:hAnsi="宋体"/>
          <w:bCs/>
          <w:sz w:val="24"/>
          <w:szCs w:val="24"/>
        </w:rPr>
      </w:pPr>
      <w:r>
        <w:rPr>
          <w:rFonts w:ascii="宋体" w:hAnsi="宋体" w:hint="eastAsia"/>
          <w:bCs/>
          <w:sz w:val="24"/>
          <w:szCs w:val="24"/>
        </w:rPr>
        <w:t>（</w:t>
      </w:r>
      <w:r w:rsidR="00F51322">
        <w:rPr>
          <w:rFonts w:ascii="宋体" w:hAnsi="宋体"/>
          <w:bCs/>
          <w:sz w:val="24"/>
          <w:szCs w:val="24"/>
        </w:rPr>
        <w:t>8</w:t>
      </w:r>
      <w:r>
        <w:rPr>
          <w:rFonts w:ascii="宋体" w:hAnsi="宋体" w:hint="eastAsia"/>
          <w:bCs/>
          <w:sz w:val="24"/>
          <w:szCs w:val="24"/>
        </w:rPr>
        <w:t>）本基金投资股指期货合约、国债期货合约，一般以估值当日结算价进行估值，估值当日无结算价，且最近交易日后经济环境未发生重大变化的，采用最近交易日结算价估值。</w:t>
      </w:r>
    </w:p>
    <w:p w14:paraId="6E066FC7" w14:textId="68ADD490" w:rsidR="00E3116F" w:rsidRDefault="00821F7A">
      <w:pPr>
        <w:adjustRightInd w:val="0"/>
        <w:snapToGrid w:val="0"/>
        <w:spacing w:line="360" w:lineRule="auto"/>
        <w:ind w:firstLine="480"/>
        <w:rPr>
          <w:rFonts w:ascii="宋体" w:hAnsi="宋体"/>
          <w:bCs/>
          <w:sz w:val="24"/>
          <w:szCs w:val="24"/>
        </w:rPr>
      </w:pPr>
      <w:r>
        <w:rPr>
          <w:rFonts w:ascii="宋体" w:hAnsi="宋体" w:hint="eastAsia"/>
          <w:bCs/>
          <w:sz w:val="24"/>
          <w:szCs w:val="24"/>
        </w:rPr>
        <w:t>（</w:t>
      </w:r>
      <w:r w:rsidR="00F51322">
        <w:rPr>
          <w:rFonts w:ascii="宋体" w:hAnsi="宋体"/>
          <w:bCs/>
          <w:sz w:val="24"/>
          <w:szCs w:val="24"/>
        </w:rPr>
        <w:t>9</w:t>
      </w:r>
      <w:r>
        <w:rPr>
          <w:rFonts w:ascii="宋体" w:hAnsi="宋体" w:hint="eastAsia"/>
          <w:bCs/>
          <w:sz w:val="24"/>
          <w:szCs w:val="24"/>
        </w:rPr>
        <w:t>）本基金投资股票期权合约，根据相关法律法规以及监管部门的规定估值。</w:t>
      </w:r>
    </w:p>
    <w:p w14:paraId="11BD8181" w14:textId="6FC08C99" w:rsidR="00F51322" w:rsidRPr="0011487B" w:rsidRDefault="00821F7A" w:rsidP="00F51322">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sidR="00F51322">
        <w:rPr>
          <w:rFonts w:ascii="宋体" w:hAnsi="宋体"/>
          <w:bCs/>
          <w:sz w:val="24"/>
          <w:szCs w:val="24"/>
        </w:rPr>
        <w:t>10</w:t>
      </w:r>
      <w:r>
        <w:rPr>
          <w:rFonts w:ascii="宋体" w:hAnsi="宋体" w:hint="eastAsia"/>
          <w:bCs/>
          <w:sz w:val="24"/>
          <w:szCs w:val="24"/>
        </w:rPr>
        <w:t>）</w:t>
      </w:r>
      <w:r w:rsidR="00F51322" w:rsidRPr="0011487B">
        <w:rPr>
          <w:rFonts w:ascii="宋体" w:hAnsi="宋体" w:hint="eastAsia"/>
          <w:bCs/>
          <w:sz w:val="24"/>
          <w:szCs w:val="24"/>
        </w:rPr>
        <w:t>估值计算中涉及中国人民银行或其授权机构公布人民币汇率中间价的货币，其对人民币汇率以估值日中国人民银行或其授权机构公布的人民币汇率中间价为准；</w:t>
      </w:r>
    </w:p>
    <w:p w14:paraId="2E1DF813" w14:textId="48DEC630" w:rsidR="00F51322" w:rsidRPr="0011487B" w:rsidRDefault="00F51322" w:rsidP="00F51322">
      <w:pPr>
        <w:adjustRightInd w:val="0"/>
        <w:snapToGrid w:val="0"/>
        <w:spacing w:line="360" w:lineRule="auto"/>
        <w:ind w:firstLineChars="200" w:firstLine="480"/>
        <w:rPr>
          <w:rFonts w:ascii="宋体" w:hAnsi="宋体"/>
          <w:bCs/>
          <w:sz w:val="24"/>
          <w:szCs w:val="24"/>
        </w:rPr>
      </w:pPr>
      <w:r w:rsidRPr="0011487B">
        <w:rPr>
          <w:rFonts w:ascii="宋体" w:hAnsi="宋体" w:hint="eastAsia"/>
          <w:bCs/>
          <w:sz w:val="24"/>
          <w:szCs w:val="24"/>
        </w:rPr>
        <w:t>其他货币对人民币的汇率采用美元作为中间货币进行换算，外汇币种与美元之间的兑换汇率将参照数据服务商提供的估值日的兑换价格为准。</w:t>
      </w:r>
    </w:p>
    <w:p w14:paraId="4EC2ABF2" w14:textId="77777777" w:rsidR="00F51322" w:rsidRDefault="00F51322" w:rsidP="00F51322">
      <w:pPr>
        <w:adjustRightInd w:val="0"/>
        <w:snapToGrid w:val="0"/>
        <w:spacing w:line="360" w:lineRule="auto"/>
        <w:ind w:firstLineChars="200" w:firstLine="480"/>
        <w:rPr>
          <w:rFonts w:ascii="宋体" w:hAnsi="宋体"/>
          <w:bCs/>
          <w:sz w:val="24"/>
          <w:szCs w:val="24"/>
        </w:rPr>
      </w:pPr>
      <w:r w:rsidRPr="0011487B">
        <w:rPr>
          <w:rFonts w:ascii="宋体" w:hAnsi="宋体" w:hint="eastAsia"/>
          <w:bCs/>
          <w:sz w:val="24"/>
          <w:szCs w:val="24"/>
        </w:rPr>
        <w:t>若本基金现行估值汇率不再发布或发生重大变更，或市场上出现更为公允、更适合本基金的估值汇率时，基金管理人与基金托管人协商一致后可根据实际情况调整本基金的估值汇率，并及时报中国证监会备案，无需召开基金份额持有人大会。</w:t>
      </w:r>
    </w:p>
    <w:p w14:paraId="4589808E" w14:textId="308C1301" w:rsidR="003571B0" w:rsidRDefault="00F51322" w:rsidP="00671A4F">
      <w:pPr>
        <w:adjustRightInd w:val="0"/>
        <w:snapToGrid w:val="0"/>
        <w:spacing w:line="360" w:lineRule="auto"/>
        <w:ind w:firstLine="480"/>
        <w:rPr>
          <w:rFonts w:ascii="宋体" w:hAnsi="宋体"/>
          <w:bCs/>
          <w:sz w:val="24"/>
          <w:szCs w:val="24"/>
        </w:rPr>
      </w:pPr>
      <w:r>
        <w:rPr>
          <w:rFonts w:ascii="宋体" w:hAnsi="宋体" w:hint="eastAsia"/>
          <w:bCs/>
          <w:sz w:val="24"/>
          <w:szCs w:val="24"/>
        </w:rPr>
        <w:t>税收：</w:t>
      </w:r>
      <w:r w:rsidRPr="0011487B">
        <w:rPr>
          <w:rFonts w:ascii="宋体" w:hAnsi="宋体" w:hint="eastAsia"/>
          <w:bCs/>
          <w:sz w:val="24"/>
          <w:szCs w:val="24"/>
        </w:rPr>
        <w:t>对于按照中国法律法规和基金投资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境外托管人根据基金管理人的指示具体协调基金在海外税务的申报、缴纳及索取税收返还等相关工作。基金根据国家法律法规和基金投资所在地的法律法规规定，履行纳税义务。基金管理人对最终税务的处理的真实准确负责。基金份额持有人根据中国法律法规规定，履行纳税义务。</w:t>
      </w:r>
      <w:r w:rsidR="003571B0" w:rsidRPr="00F824BC">
        <w:rPr>
          <w:rFonts w:ascii="宋体" w:hAnsi="宋体" w:hint="eastAsia"/>
          <w:bCs/>
          <w:sz w:val="24"/>
          <w:szCs w:val="24"/>
        </w:rPr>
        <w:t>除因基金管理人或基金托管人疏忽、故意行为导致的基金在税收方面造成的损失外，基金管理人和基金托管人不承担责任。</w:t>
      </w:r>
    </w:p>
    <w:p w14:paraId="2304425B" w14:textId="0DDBB517" w:rsidR="00E3116F" w:rsidRDefault="00821F7A">
      <w:pPr>
        <w:adjustRightInd w:val="0"/>
        <w:snapToGrid w:val="0"/>
        <w:spacing w:line="360" w:lineRule="auto"/>
        <w:ind w:firstLine="480"/>
        <w:rPr>
          <w:rFonts w:ascii="宋体" w:hAnsi="宋体"/>
          <w:bCs/>
          <w:sz w:val="24"/>
          <w:szCs w:val="24"/>
        </w:rPr>
      </w:pPr>
      <w:r>
        <w:rPr>
          <w:rFonts w:ascii="宋体" w:hAnsi="宋体" w:hint="eastAsia"/>
          <w:bCs/>
          <w:sz w:val="24"/>
          <w:szCs w:val="24"/>
        </w:rPr>
        <w:t>（</w:t>
      </w:r>
      <w:r w:rsidR="00F824BC">
        <w:rPr>
          <w:rFonts w:ascii="宋体" w:hAnsi="宋体"/>
          <w:bCs/>
          <w:sz w:val="24"/>
          <w:szCs w:val="24"/>
        </w:rPr>
        <w:t>1</w:t>
      </w:r>
      <w:r w:rsidR="00F51322">
        <w:rPr>
          <w:rFonts w:ascii="宋体" w:hAnsi="宋体"/>
          <w:bCs/>
          <w:sz w:val="24"/>
          <w:szCs w:val="24"/>
        </w:rPr>
        <w:t>1</w:t>
      </w:r>
      <w:r>
        <w:rPr>
          <w:rFonts w:ascii="宋体" w:hAnsi="宋体" w:hint="eastAsia"/>
          <w:bCs/>
          <w:sz w:val="24"/>
          <w:szCs w:val="24"/>
        </w:rPr>
        <w:t>）本基金参与融资业务的，按照相关法律法规和行业协会的相关规定进行估值。</w:t>
      </w:r>
    </w:p>
    <w:p w14:paraId="00C57D40" w14:textId="7585183D" w:rsidR="00E3116F" w:rsidRDefault="00821F7A">
      <w:pPr>
        <w:adjustRightInd w:val="0"/>
        <w:snapToGrid w:val="0"/>
        <w:spacing w:line="360" w:lineRule="auto"/>
        <w:ind w:firstLine="480"/>
        <w:rPr>
          <w:rFonts w:ascii="宋体" w:hAnsi="宋体"/>
          <w:bCs/>
          <w:sz w:val="24"/>
          <w:szCs w:val="24"/>
        </w:rPr>
      </w:pPr>
      <w:r>
        <w:rPr>
          <w:rFonts w:ascii="宋体" w:hAnsi="宋体" w:hint="eastAsia"/>
          <w:bCs/>
          <w:sz w:val="24"/>
          <w:szCs w:val="24"/>
        </w:rPr>
        <w:t>（</w:t>
      </w:r>
      <w:r w:rsidR="00F824BC">
        <w:rPr>
          <w:rFonts w:ascii="宋体" w:hAnsi="宋体"/>
          <w:bCs/>
          <w:sz w:val="24"/>
          <w:szCs w:val="24"/>
        </w:rPr>
        <w:t>1</w:t>
      </w:r>
      <w:r w:rsidR="00F51322">
        <w:rPr>
          <w:rFonts w:ascii="宋体" w:hAnsi="宋体"/>
          <w:bCs/>
          <w:sz w:val="24"/>
          <w:szCs w:val="24"/>
        </w:rPr>
        <w:t>2</w:t>
      </w:r>
      <w:r>
        <w:rPr>
          <w:rFonts w:ascii="宋体" w:hAnsi="宋体" w:hint="eastAsia"/>
          <w:bCs/>
          <w:sz w:val="24"/>
          <w:szCs w:val="24"/>
        </w:rPr>
        <w:t>）如有确凿证据表明按上述方法进行估值不能客观反映其公允价值的，基金管理人可根据具体情况与基金托管人商定后，按最能反映公允价值的价格估值。</w:t>
      </w:r>
    </w:p>
    <w:p w14:paraId="76781AB1" w14:textId="2B653128" w:rsidR="00E3116F" w:rsidRDefault="00821F7A">
      <w:pPr>
        <w:adjustRightInd w:val="0"/>
        <w:snapToGrid w:val="0"/>
        <w:spacing w:line="360" w:lineRule="auto"/>
        <w:ind w:firstLine="480"/>
        <w:rPr>
          <w:rFonts w:ascii="宋体" w:hAnsi="宋体"/>
          <w:bCs/>
          <w:sz w:val="24"/>
          <w:szCs w:val="24"/>
        </w:rPr>
      </w:pPr>
      <w:r>
        <w:rPr>
          <w:rFonts w:ascii="宋体" w:hAnsi="宋体" w:hint="eastAsia"/>
          <w:bCs/>
          <w:sz w:val="24"/>
          <w:szCs w:val="24"/>
        </w:rPr>
        <w:t>（</w:t>
      </w:r>
      <w:r w:rsidR="00F824BC">
        <w:rPr>
          <w:rFonts w:ascii="宋体" w:hAnsi="宋体"/>
          <w:bCs/>
          <w:sz w:val="24"/>
          <w:szCs w:val="24"/>
        </w:rPr>
        <w:t>1</w:t>
      </w:r>
      <w:r w:rsidR="00F51322">
        <w:rPr>
          <w:rFonts w:ascii="宋体" w:hAnsi="宋体"/>
          <w:bCs/>
          <w:sz w:val="24"/>
          <w:szCs w:val="24"/>
        </w:rPr>
        <w:t>3</w:t>
      </w:r>
      <w:r>
        <w:rPr>
          <w:rFonts w:ascii="宋体" w:hAnsi="宋体" w:hint="eastAsia"/>
          <w:bCs/>
          <w:sz w:val="24"/>
          <w:szCs w:val="24"/>
        </w:rPr>
        <w:t>）当本基金发生大额申购或赎回情形时，基金管理人可以采用摆动定价机制，以确保基金估值的公平性。</w:t>
      </w:r>
    </w:p>
    <w:p w14:paraId="03C4BA85" w14:textId="0EE9D5A2" w:rsidR="00E3116F" w:rsidRDefault="00821F7A">
      <w:pPr>
        <w:adjustRightInd w:val="0"/>
        <w:snapToGrid w:val="0"/>
        <w:spacing w:line="360" w:lineRule="auto"/>
        <w:ind w:firstLine="480"/>
        <w:rPr>
          <w:rFonts w:ascii="宋体" w:hAnsi="宋体"/>
          <w:bCs/>
          <w:sz w:val="24"/>
          <w:szCs w:val="24"/>
        </w:rPr>
      </w:pPr>
      <w:r>
        <w:rPr>
          <w:rFonts w:ascii="宋体" w:hAnsi="宋体" w:hint="eastAsia"/>
          <w:bCs/>
          <w:sz w:val="24"/>
          <w:szCs w:val="24"/>
        </w:rPr>
        <w:t>（</w:t>
      </w:r>
      <w:r w:rsidR="00F824BC">
        <w:rPr>
          <w:rFonts w:ascii="宋体" w:hAnsi="宋体"/>
          <w:bCs/>
          <w:sz w:val="24"/>
          <w:szCs w:val="24"/>
        </w:rPr>
        <w:t>1</w:t>
      </w:r>
      <w:r w:rsidR="00F51322">
        <w:rPr>
          <w:rFonts w:ascii="宋体" w:hAnsi="宋体"/>
          <w:bCs/>
          <w:sz w:val="24"/>
          <w:szCs w:val="24"/>
        </w:rPr>
        <w:t>4</w:t>
      </w:r>
      <w:r>
        <w:rPr>
          <w:rFonts w:ascii="宋体" w:hAnsi="宋体" w:hint="eastAsia"/>
          <w:bCs/>
          <w:sz w:val="24"/>
          <w:szCs w:val="24"/>
        </w:rPr>
        <w:t>）相关法律法规以及监管部门有强制规定的，从其规定。如有新增事项，按国家最新规定估值。</w:t>
      </w:r>
    </w:p>
    <w:p w14:paraId="5E04903B" w14:textId="77777777" w:rsidR="00E3116F" w:rsidRDefault="00821F7A">
      <w:pPr>
        <w:adjustRightInd w:val="0"/>
        <w:snapToGrid w:val="0"/>
        <w:spacing w:line="360" w:lineRule="auto"/>
        <w:ind w:firstLine="480"/>
        <w:rPr>
          <w:rFonts w:ascii="宋体" w:hAnsi="宋体"/>
          <w:bCs/>
          <w:sz w:val="24"/>
          <w:szCs w:val="24"/>
        </w:rPr>
      </w:pPr>
      <w:r>
        <w:rPr>
          <w:rFonts w:ascii="宋体" w:hAnsi="宋体" w:hint="eastAsia"/>
          <w:bCs/>
          <w:sz w:val="24"/>
          <w:szCs w:val="24"/>
        </w:rPr>
        <w:lastRenderedPageBreak/>
        <w:t>如基金管理人或基金托管人发现基金估值违反基金合同订明的估值方法、程序及相关法律法规的规定或者未能充分维护基金份额持有人利益时，应立即通知对方，共同查明原因，双方协商解决，以约定的方法、程序和相关法律法规的规定进行估值，以维护基金份额持有人的利益。</w:t>
      </w:r>
    </w:p>
    <w:p w14:paraId="31EF0026" w14:textId="3BB5637F" w:rsidR="00E3116F" w:rsidRDefault="00821F7A">
      <w:pPr>
        <w:adjustRightInd w:val="0"/>
        <w:snapToGrid w:val="0"/>
        <w:spacing w:line="360" w:lineRule="auto"/>
        <w:ind w:firstLine="480"/>
        <w:rPr>
          <w:rFonts w:ascii="宋体" w:hAnsi="宋体"/>
          <w:bCs/>
          <w:sz w:val="24"/>
          <w:szCs w:val="24"/>
        </w:rPr>
      </w:pPr>
      <w:r>
        <w:rPr>
          <w:rFonts w:ascii="宋体" w:hAnsi="宋体" w:hint="eastAsia"/>
          <w:bCs/>
          <w:sz w:val="24"/>
          <w:szCs w:val="24"/>
        </w:rPr>
        <w:t>根据有关法律法规，基金资产净值计算、</w:t>
      </w:r>
      <w:r w:rsidR="00A265D6">
        <w:rPr>
          <w:rFonts w:ascii="宋体" w:hAnsi="宋体" w:hint="eastAsia"/>
          <w:bCs/>
          <w:sz w:val="24"/>
          <w:szCs w:val="24"/>
        </w:rPr>
        <w:t>各类</w:t>
      </w:r>
      <w:r>
        <w:rPr>
          <w:rFonts w:ascii="宋体" w:hAnsi="宋体" w:hint="eastAsia"/>
          <w:bCs/>
          <w:sz w:val="24"/>
          <w:szCs w:val="24"/>
        </w:rPr>
        <w:t>基金份额净值计算和基金会计核算的义务由基金管理人承担。本基金的基金会计责任方由基金管理人担任，因此，就与本基金有关的会计问题，如经相关各方在平等基础上充分讨论后，仍无法达成一致意见的，</w:t>
      </w:r>
      <w:r w:rsidR="00626690" w:rsidRPr="00F824BC">
        <w:rPr>
          <w:rFonts w:ascii="宋体" w:hAnsi="宋体" w:hint="eastAsia"/>
          <w:bCs/>
          <w:sz w:val="24"/>
          <w:szCs w:val="24"/>
        </w:rPr>
        <w:t>基金管理人向基金托管人出具盖章的书面说明后，</w:t>
      </w:r>
      <w:r>
        <w:rPr>
          <w:rFonts w:ascii="宋体" w:hAnsi="宋体" w:hint="eastAsia"/>
          <w:bCs/>
          <w:sz w:val="24"/>
          <w:szCs w:val="24"/>
        </w:rPr>
        <w:t>按照基金管理人对基金净值信息的计算结果按规定对外予以公布</w:t>
      </w:r>
    </w:p>
    <w:p w14:paraId="053AA3AC" w14:textId="77777777" w:rsidR="00E3116F" w:rsidRDefault="00821F7A">
      <w:pPr>
        <w:adjustRightInd w:val="0"/>
        <w:snapToGrid w:val="0"/>
        <w:spacing w:line="360" w:lineRule="auto"/>
        <w:ind w:firstLine="480"/>
        <w:rPr>
          <w:rStyle w:val="read"/>
          <w:rFonts w:ascii="宋体" w:hAnsi="宋体" w:cs="Arial"/>
          <w:sz w:val="24"/>
        </w:rPr>
      </w:pPr>
      <w:r>
        <w:rPr>
          <w:rStyle w:val="read"/>
          <w:rFonts w:ascii="宋体" w:hAnsi="宋体" w:cs="Arial" w:hint="eastAsia"/>
          <w:sz w:val="24"/>
        </w:rPr>
        <w:t>3.特殊情形的处理</w:t>
      </w:r>
    </w:p>
    <w:p w14:paraId="2F9CA963" w14:textId="574D5BE8" w:rsidR="00E3116F" w:rsidRDefault="00821F7A">
      <w:pPr>
        <w:adjustRightInd w:val="0"/>
        <w:snapToGrid w:val="0"/>
        <w:spacing w:line="360" w:lineRule="auto"/>
        <w:ind w:firstLineChars="200" w:firstLine="480"/>
        <w:rPr>
          <w:rStyle w:val="read"/>
          <w:rFonts w:ascii="宋体" w:hAnsi="宋体"/>
          <w:sz w:val="24"/>
        </w:rPr>
      </w:pPr>
      <w:r>
        <w:rPr>
          <w:rStyle w:val="read"/>
          <w:rFonts w:ascii="宋体" w:hAnsi="宋体" w:cs="Arial" w:hint="eastAsia"/>
          <w:sz w:val="24"/>
        </w:rPr>
        <w:t>（1）基金管理人、基金托管人按估值方法的第（</w:t>
      </w:r>
      <w:r w:rsidR="00F824BC">
        <w:rPr>
          <w:rStyle w:val="read"/>
          <w:rFonts w:ascii="宋体" w:hAnsi="宋体" w:cs="Arial"/>
          <w:sz w:val="24"/>
        </w:rPr>
        <w:t>1</w:t>
      </w:r>
      <w:r w:rsidR="00F51322">
        <w:rPr>
          <w:rStyle w:val="read"/>
          <w:rFonts w:ascii="宋体" w:hAnsi="宋体" w:cs="Arial"/>
          <w:sz w:val="24"/>
        </w:rPr>
        <w:t>2</w:t>
      </w:r>
      <w:r>
        <w:rPr>
          <w:rStyle w:val="read"/>
          <w:rFonts w:ascii="宋体" w:hAnsi="宋体" w:cs="Arial" w:hint="eastAsia"/>
          <w:sz w:val="24"/>
        </w:rPr>
        <w:t>）项进行估值时，所造成的误差不作为基金</w:t>
      </w:r>
      <w:r>
        <w:rPr>
          <w:rFonts w:ascii="宋体" w:hAnsi="宋体" w:hint="eastAsia"/>
          <w:bCs/>
          <w:sz w:val="24"/>
          <w:szCs w:val="24"/>
        </w:rPr>
        <w:t>资产估值</w:t>
      </w:r>
      <w:r>
        <w:rPr>
          <w:rStyle w:val="read"/>
          <w:rFonts w:ascii="宋体" w:hAnsi="宋体" w:hint="eastAsia"/>
          <w:sz w:val="24"/>
        </w:rPr>
        <w:t>错误处理。</w:t>
      </w:r>
    </w:p>
    <w:p w14:paraId="696E425F" w14:textId="23137D0C" w:rsidR="003D67D7" w:rsidRPr="00F824BC" w:rsidRDefault="003D67D7" w:rsidP="00F824BC">
      <w:pPr>
        <w:adjustRightInd w:val="0"/>
        <w:snapToGrid w:val="0"/>
        <w:spacing w:line="360" w:lineRule="auto"/>
        <w:ind w:firstLineChars="200" w:firstLine="480"/>
        <w:rPr>
          <w:rStyle w:val="read"/>
          <w:rFonts w:ascii="宋体" w:hAnsi="宋体" w:cs="Arial"/>
          <w:sz w:val="24"/>
        </w:rPr>
      </w:pPr>
      <w:r w:rsidRPr="00F824BC">
        <w:rPr>
          <w:rStyle w:val="read"/>
          <w:rFonts w:ascii="宋体" w:hAnsi="宋体" w:cs="Arial" w:hint="eastAsia"/>
          <w:sz w:val="24"/>
        </w:rPr>
        <w:t>（2）对于因税收规定调整或其他原因导致基金实际交纳税金与基金按照权责发生制进行估值的应交税金有差异的，相关估值调整不作为基金资产估值错误处理。</w:t>
      </w:r>
    </w:p>
    <w:p w14:paraId="4F8CD904" w14:textId="4BF750D4" w:rsidR="003D67D7" w:rsidRDefault="003D67D7" w:rsidP="00F824BC">
      <w:pPr>
        <w:adjustRightInd w:val="0"/>
        <w:snapToGrid w:val="0"/>
        <w:spacing w:line="360" w:lineRule="auto"/>
        <w:ind w:firstLineChars="200" w:firstLine="480"/>
        <w:rPr>
          <w:rStyle w:val="read"/>
          <w:rFonts w:ascii="宋体" w:hAnsi="宋体"/>
          <w:sz w:val="24"/>
        </w:rPr>
      </w:pPr>
      <w:r w:rsidRPr="00F824BC">
        <w:rPr>
          <w:rStyle w:val="read"/>
          <w:rFonts w:ascii="宋体" w:hAnsi="宋体" w:cs="Arial" w:hint="eastAsia"/>
          <w:sz w:val="24"/>
        </w:rPr>
        <w:t>（3）由于时差、通讯或其他非可控的客观原因，在本基金管理人和本基金托管人协商一致的时间点前无法确认的交易，导致的对基金资产净值的影响，不作为基金资产估值错误处理。</w:t>
      </w:r>
    </w:p>
    <w:p w14:paraId="281B04C5" w14:textId="1E1E5D80" w:rsidR="00E3116F" w:rsidRDefault="00821F7A">
      <w:pPr>
        <w:adjustRightInd w:val="0"/>
        <w:snapToGrid w:val="0"/>
        <w:spacing w:line="360" w:lineRule="auto"/>
        <w:ind w:firstLineChars="200" w:firstLine="480"/>
        <w:rPr>
          <w:rStyle w:val="read"/>
          <w:rFonts w:ascii="宋体" w:hAnsi="宋体"/>
          <w:sz w:val="24"/>
        </w:rPr>
      </w:pPr>
      <w:r>
        <w:rPr>
          <w:rStyle w:val="read"/>
          <w:rFonts w:ascii="宋体" w:hAnsi="宋体" w:hint="eastAsia"/>
          <w:sz w:val="24"/>
        </w:rPr>
        <w:t>（</w:t>
      </w:r>
      <w:r w:rsidR="003D67D7">
        <w:rPr>
          <w:rStyle w:val="read"/>
          <w:rFonts w:ascii="宋体" w:hAnsi="宋体" w:hint="eastAsia"/>
          <w:sz w:val="24"/>
        </w:rPr>
        <w:t>4</w:t>
      </w:r>
      <w:r>
        <w:rPr>
          <w:rStyle w:val="read"/>
          <w:rFonts w:ascii="宋体" w:hAnsi="宋体" w:hint="eastAsia"/>
          <w:sz w:val="24"/>
        </w:rPr>
        <w:t>）由于不可抗力原因，或由于证券/期货交易所</w:t>
      </w:r>
      <w:r w:rsidR="00B24D8D" w:rsidRPr="00F13072">
        <w:rPr>
          <w:rStyle w:val="read"/>
          <w:rFonts w:ascii="宋体" w:hAnsi="宋体" w:hint="eastAsia"/>
          <w:sz w:val="24"/>
        </w:rPr>
        <w:t>、外汇市场、</w:t>
      </w:r>
      <w:r>
        <w:rPr>
          <w:rStyle w:val="read"/>
          <w:rFonts w:ascii="宋体" w:hAnsi="宋体" w:hint="eastAsia"/>
          <w:sz w:val="24"/>
        </w:rPr>
        <w:t>登记结算公司、证券/期货经纪机构、存款银行、第三方估值基准服务机构等第三方机构发送的数据错误、遗漏，或有关会计制度变化等非基金管理人与基金托管人原因，基金管理人和基金托管人虽然已经采取必要、适当、合理的措施进行检查，但未能发现该错误、遗漏的，由此造成的基金资产估值错误，基金管理人和基金托管人免除赔偿责任。但基金管理人、基金托管人应当积极采取必要的措施消除或减轻由此造成的影响。</w:t>
      </w:r>
    </w:p>
    <w:p w14:paraId="2F92D02F" w14:textId="77777777" w:rsidR="00E3116F" w:rsidRDefault="00821F7A">
      <w:pPr>
        <w:adjustRightInd w:val="0"/>
        <w:snapToGrid w:val="0"/>
        <w:spacing w:line="360" w:lineRule="auto"/>
        <w:ind w:firstLineChars="200" w:firstLine="480"/>
        <w:rPr>
          <w:rStyle w:val="read"/>
          <w:rFonts w:ascii="宋体" w:hAnsi="宋体"/>
          <w:sz w:val="24"/>
        </w:rPr>
      </w:pPr>
      <w:bookmarkStart w:id="97" w:name="_Hlk172127657"/>
      <w:bookmarkEnd w:id="95"/>
      <w:r>
        <w:rPr>
          <w:rStyle w:val="read"/>
          <w:rFonts w:ascii="宋体" w:hAnsi="宋体" w:hint="eastAsia"/>
          <w:sz w:val="24"/>
        </w:rPr>
        <w:t>（三）基金份额净值错误的处理方式</w:t>
      </w:r>
    </w:p>
    <w:p w14:paraId="2E497404" w14:textId="47D516EC" w:rsidR="00E3116F" w:rsidRDefault="00821F7A">
      <w:pPr>
        <w:adjustRightInd w:val="0"/>
        <w:snapToGrid w:val="0"/>
        <w:spacing w:line="360" w:lineRule="auto"/>
        <w:ind w:firstLineChars="200" w:firstLine="480"/>
        <w:rPr>
          <w:rStyle w:val="read"/>
          <w:rFonts w:ascii="宋体" w:hAnsi="宋体"/>
          <w:sz w:val="24"/>
        </w:rPr>
      </w:pPr>
      <w:r>
        <w:rPr>
          <w:rStyle w:val="read"/>
          <w:rFonts w:ascii="宋体" w:hAnsi="宋体" w:hint="eastAsia"/>
          <w:sz w:val="24"/>
        </w:rPr>
        <w:t>1.当</w:t>
      </w:r>
      <w:r w:rsidR="00716A20">
        <w:rPr>
          <w:rFonts w:ascii="黑体" w:hAnsi="黑体" w:hint="eastAsia"/>
          <w:bCs/>
          <w:sz w:val="24"/>
          <w:szCs w:val="24"/>
        </w:rPr>
        <w:t>任一类</w:t>
      </w:r>
      <w:r>
        <w:rPr>
          <w:rStyle w:val="read"/>
          <w:rFonts w:ascii="宋体" w:hAnsi="宋体" w:hint="eastAsia"/>
          <w:sz w:val="24"/>
        </w:rPr>
        <w:t>基金份额净值小数点后</w:t>
      </w:r>
      <w:r>
        <w:rPr>
          <w:rStyle w:val="read"/>
          <w:rFonts w:ascii="宋体" w:hAnsi="宋体"/>
          <w:sz w:val="24"/>
        </w:rPr>
        <w:t>4</w:t>
      </w:r>
      <w:r>
        <w:rPr>
          <w:rStyle w:val="read"/>
          <w:rFonts w:ascii="宋体" w:hAnsi="宋体" w:hint="eastAsia"/>
          <w:sz w:val="24"/>
        </w:rPr>
        <w:t>位以内（含第</w:t>
      </w:r>
      <w:r>
        <w:rPr>
          <w:rStyle w:val="read"/>
          <w:rFonts w:ascii="宋体" w:hAnsi="宋体"/>
          <w:sz w:val="24"/>
        </w:rPr>
        <w:t>4</w:t>
      </w:r>
      <w:r>
        <w:rPr>
          <w:rStyle w:val="read"/>
          <w:rFonts w:ascii="宋体" w:hAnsi="宋体" w:hint="eastAsia"/>
          <w:sz w:val="24"/>
        </w:rPr>
        <w:t>位）发生估值</w:t>
      </w:r>
      <w:r>
        <w:rPr>
          <w:rStyle w:val="read"/>
          <w:rFonts w:ascii="宋体" w:hAnsi="宋体"/>
          <w:sz w:val="24"/>
        </w:rPr>
        <w:t>错误</w:t>
      </w:r>
      <w:r>
        <w:rPr>
          <w:rStyle w:val="read"/>
          <w:rFonts w:ascii="宋体" w:hAnsi="宋体" w:hint="eastAsia"/>
          <w:sz w:val="24"/>
        </w:rPr>
        <w:t>时，视为</w:t>
      </w:r>
      <w:r w:rsidR="00716A20">
        <w:rPr>
          <w:rStyle w:val="read"/>
          <w:rFonts w:ascii="宋体" w:hAnsi="宋体" w:hint="eastAsia"/>
          <w:sz w:val="24"/>
        </w:rPr>
        <w:t>该类</w:t>
      </w:r>
      <w:r>
        <w:rPr>
          <w:rStyle w:val="read"/>
          <w:rFonts w:ascii="宋体" w:hAnsi="宋体" w:hint="eastAsia"/>
          <w:sz w:val="24"/>
        </w:rPr>
        <w:t>基金份额净值错误；基金份额净值出现错误时，基金管理人应当立即予以纠正，通报基金托管人，并采取合理的措施防止损失进一步扩大；错误偏差达到</w:t>
      </w:r>
      <w:r w:rsidR="00716A20">
        <w:rPr>
          <w:rFonts w:ascii="宋体" w:hAnsi="宋体" w:hint="eastAsia"/>
          <w:bCs/>
          <w:sz w:val="24"/>
          <w:szCs w:val="24"/>
        </w:rPr>
        <w:t>该类</w:t>
      </w:r>
      <w:r>
        <w:rPr>
          <w:rStyle w:val="read"/>
          <w:rFonts w:ascii="宋体" w:hAnsi="宋体" w:hint="eastAsia"/>
          <w:sz w:val="24"/>
        </w:rPr>
        <w:t>基金份额净值的0.25%时，基金管理人应当通报基金托管人并报中国证监会备案</w:t>
      </w:r>
      <w:r>
        <w:rPr>
          <w:rFonts w:ascii="宋体" w:hAnsi="宋体" w:cs="Arial" w:hint="eastAsia"/>
          <w:sz w:val="24"/>
        </w:rPr>
        <w:t>；</w:t>
      </w:r>
      <w:r>
        <w:rPr>
          <w:rFonts w:ascii="宋体" w:hAnsi="宋体" w:cs="Arial" w:hint="eastAsia"/>
          <w:sz w:val="24"/>
        </w:rPr>
        <w:lastRenderedPageBreak/>
        <w:t>错误偏差达到</w:t>
      </w:r>
      <w:r w:rsidR="00716A20">
        <w:rPr>
          <w:rFonts w:ascii="宋体" w:hAnsi="宋体" w:hint="eastAsia"/>
          <w:bCs/>
          <w:sz w:val="24"/>
          <w:szCs w:val="24"/>
        </w:rPr>
        <w:t>该类</w:t>
      </w:r>
      <w:r>
        <w:rPr>
          <w:rFonts w:ascii="宋体" w:hAnsi="宋体" w:cs="Arial" w:hint="eastAsia"/>
          <w:sz w:val="24"/>
        </w:rPr>
        <w:t>基金份额净值的</w:t>
      </w:r>
      <w:r>
        <w:rPr>
          <w:rFonts w:ascii="宋体" w:hAnsi="宋体" w:hint="eastAsia"/>
          <w:sz w:val="24"/>
        </w:rPr>
        <w:t>0.5%时，基金管理人应当公告，并报中国证监会备案</w:t>
      </w:r>
      <w:r>
        <w:rPr>
          <w:rStyle w:val="read"/>
          <w:rFonts w:ascii="宋体" w:hAnsi="宋体" w:hint="eastAsia"/>
          <w:sz w:val="24"/>
        </w:rPr>
        <w:t>；当发生净值计算错误时，由基金管理人负责处理，由此给基金份额持有人和基金造成损失的，应由基金管理人先行赔付，基金管理人按差错情形，有权向其他当事人追偿。</w:t>
      </w:r>
    </w:p>
    <w:p w14:paraId="0A1B23EB" w14:textId="77777777" w:rsidR="00E3116F" w:rsidRDefault="00821F7A">
      <w:pPr>
        <w:adjustRightInd w:val="0"/>
        <w:snapToGrid w:val="0"/>
        <w:spacing w:line="360" w:lineRule="auto"/>
        <w:ind w:firstLineChars="200" w:firstLine="480"/>
        <w:rPr>
          <w:rStyle w:val="read"/>
          <w:rFonts w:ascii="宋体" w:hAnsi="宋体"/>
          <w:sz w:val="24"/>
        </w:rPr>
      </w:pPr>
      <w:r>
        <w:rPr>
          <w:rStyle w:val="read"/>
          <w:rFonts w:ascii="宋体" w:hAnsi="宋体" w:hint="eastAsia"/>
          <w:sz w:val="24"/>
        </w:rPr>
        <w:t>2.当基金份额净值计算差错给基金和基金份额持有人造成损失需要进行赔偿时，基金管理人和基金托管人应根据实际情况界定双方承担的责任，经确认后按以下条款进行赔偿：</w:t>
      </w:r>
    </w:p>
    <w:p w14:paraId="4E3D91BD" w14:textId="77777777" w:rsidR="00E3116F" w:rsidRDefault="00821F7A">
      <w:pPr>
        <w:adjustRightInd w:val="0"/>
        <w:snapToGrid w:val="0"/>
        <w:spacing w:line="360" w:lineRule="auto"/>
        <w:ind w:firstLineChars="200" w:firstLine="480"/>
        <w:rPr>
          <w:rFonts w:ascii="宋体" w:hAnsi="宋体" w:cs="Arial"/>
          <w:sz w:val="24"/>
        </w:rPr>
      </w:pPr>
      <w:r>
        <w:rPr>
          <w:rStyle w:val="read"/>
          <w:rFonts w:ascii="宋体" w:hAnsi="宋体" w:hint="eastAsia"/>
          <w:sz w:val="24"/>
        </w:rPr>
        <w:t>（1）本基金的基金会计责任方由基金管理人担任，与本基金有关的会计问题，如经双方在平等基础上充分讨论后，尚不能达成一致时，基金管理人向基金托管人出具盖章的书面说明后，按照基金管理人对基金净值信息的计算结果对外予以公布，由此给基金份额持有人和基金财产造成的</w:t>
      </w:r>
      <w:r>
        <w:rPr>
          <w:rFonts w:ascii="宋体" w:hAnsi="宋体" w:cs="Arial" w:hint="eastAsia"/>
          <w:sz w:val="24"/>
        </w:rPr>
        <w:t>损失，由基金管理人负责赔付。</w:t>
      </w:r>
    </w:p>
    <w:p w14:paraId="2B0CCF4F" w14:textId="2C55FB5F"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（2）</w:t>
      </w:r>
      <w:r>
        <w:rPr>
          <w:rFonts w:ascii="宋体" w:hAnsi="宋体" w:hint="eastAsia"/>
          <w:kern w:val="0"/>
          <w:sz w:val="24"/>
        </w:rPr>
        <w:t>若基金管理人计算的</w:t>
      </w:r>
      <w:r w:rsidR="00716A20">
        <w:rPr>
          <w:rFonts w:ascii="宋体" w:hAnsi="宋体" w:hint="eastAsia"/>
          <w:kern w:val="0"/>
          <w:sz w:val="24"/>
        </w:rPr>
        <w:t>各类</w:t>
      </w:r>
      <w:r>
        <w:rPr>
          <w:rFonts w:ascii="宋体" w:hAnsi="宋体" w:hint="eastAsia"/>
          <w:kern w:val="0"/>
          <w:sz w:val="24"/>
        </w:rPr>
        <w:t>基金份额净值已由基金托管人复核确认后公告，而且基金托管人未对计算过程提出疑义或要求基金管理人书面说明，</w:t>
      </w:r>
      <w:r w:rsidR="00716A20">
        <w:rPr>
          <w:rFonts w:ascii="宋体" w:hAnsi="宋体" w:hint="eastAsia"/>
          <w:kern w:val="0"/>
          <w:sz w:val="24"/>
        </w:rPr>
        <w:t>任一类</w:t>
      </w:r>
      <w:r>
        <w:rPr>
          <w:rFonts w:ascii="宋体" w:hAnsi="宋体" w:hint="eastAsia"/>
          <w:kern w:val="0"/>
          <w:sz w:val="24"/>
        </w:rPr>
        <w:t>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2579E6C3" w14:textId="5E2F4705"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（3）如基金管理人和基金托管人对</w:t>
      </w:r>
      <w:r w:rsidR="00716A20">
        <w:rPr>
          <w:rFonts w:ascii="宋体" w:hAnsi="宋体" w:hint="eastAsia"/>
          <w:kern w:val="0"/>
          <w:sz w:val="24"/>
        </w:rPr>
        <w:t>各类</w:t>
      </w:r>
      <w:r>
        <w:rPr>
          <w:rFonts w:ascii="宋体" w:hAnsi="宋体" w:cs="Arial" w:hint="eastAsia"/>
          <w:sz w:val="24"/>
        </w:rPr>
        <w:t>基金份额净值的计算结果，虽然多次重新计算和核对，尚不能达成一致时，为避免不能按时公布</w:t>
      </w:r>
      <w:r w:rsidR="00716A20">
        <w:rPr>
          <w:rFonts w:ascii="宋体" w:hAnsi="宋体" w:hint="eastAsia"/>
          <w:kern w:val="0"/>
          <w:sz w:val="24"/>
        </w:rPr>
        <w:t>各类</w:t>
      </w:r>
      <w:r>
        <w:rPr>
          <w:rFonts w:ascii="宋体" w:hAnsi="宋体" w:cs="Arial" w:hint="eastAsia"/>
          <w:sz w:val="24"/>
        </w:rPr>
        <w:t>基金份额净值的情形，以基金管理人的计算结果对外公布，由此给基金份额持有人和基金造成的损失，由基金管理人负责赔付。</w:t>
      </w:r>
    </w:p>
    <w:p w14:paraId="5096913E" w14:textId="77777777" w:rsidR="00E3116F" w:rsidRDefault="00821F7A">
      <w:pPr>
        <w:adjustRightInd w:val="0"/>
        <w:snapToGrid w:val="0"/>
        <w:spacing w:line="360" w:lineRule="auto"/>
        <w:ind w:firstLineChars="200" w:firstLine="480"/>
        <w:rPr>
          <w:rFonts w:ascii="宋体" w:hAnsi="宋体"/>
          <w:kern w:val="0"/>
          <w:sz w:val="24"/>
        </w:rPr>
      </w:pPr>
      <w:r>
        <w:rPr>
          <w:rFonts w:ascii="宋体" w:hAnsi="宋体" w:cs="Arial" w:hint="eastAsia"/>
          <w:sz w:val="24"/>
        </w:rPr>
        <w:t>（4）</w:t>
      </w:r>
      <w:r>
        <w:rPr>
          <w:rFonts w:ascii="宋体" w:hAnsi="宋体" w:hint="eastAsia"/>
          <w:kern w:val="0"/>
          <w:sz w:val="24"/>
        </w:rPr>
        <w:t>由于基金管理人提供的信息错误（包括但不限于基金申购或赎回金额等），进而导致基金份额净值计算错误而引起的基金份额持有人和基金财产的损失，由基金管理人负责赔付。</w:t>
      </w:r>
    </w:p>
    <w:p w14:paraId="44642032" w14:textId="50340005" w:rsidR="00531CBF" w:rsidRPr="00F824BC" w:rsidRDefault="00531CBF">
      <w:pPr>
        <w:adjustRightInd w:val="0"/>
        <w:snapToGrid w:val="0"/>
        <w:spacing w:line="360" w:lineRule="auto"/>
        <w:ind w:firstLineChars="200" w:firstLine="480"/>
        <w:rPr>
          <w:rFonts w:ascii="宋体" w:hAnsi="宋体"/>
          <w:kern w:val="0"/>
          <w:sz w:val="24"/>
        </w:rPr>
      </w:pPr>
      <w:r w:rsidRPr="00F824BC">
        <w:rPr>
          <w:rFonts w:ascii="宋体" w:hAnsi="宋体" w:hint="eastAsia"/>
          <w:kern w:val="0"/>
          <w:sz w:val="24"/>
        </w:rPr>
        <w:t>3.由于证券交易所及登记结算公司等第三方机构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14:paraId="06A7C53C" w14:textId="0DF5AE93" w:rsidR="00E3116F" w:rsidRDefault="00F824BC">
      <w:pPr>
        <w:adjustRightInd w:val="0"/>
        <w:snapToGrid w:val="0"/>
        <w:spacing w:line="360" w:lineRule="auto"/>
        <w:ind w:firstLineChars="200" w:firstLine="480"/>
        <w:rPr>
          <w:rFonts w:ascii="宋体" w:hAnsi="宋体" w:cs="Arial"/>
          <w:sz w:val="24"/>
        </w:rPr>
      </w:pPr>
      <w:r>
        <w:rPr>
          <w:rFonts w:ascii="宋体" w:hAnsi="宋体" w:cs="Arial"/>
          <w:sz w:val="24"/>
        </w:rPr>
        <w:t>4</w:t>
      </w:r>
      <w:r w:rsidR="00821F7A">
        <w:rPr>
          <w:rFonts w:ascii="宋体" w:hAnsi="宋体" w:cs="Arial" w:hint="eastAsia"/>
          <w:sz w:val="24"/>
        </w:rPr>
        <w:t>.基金管理人和基金托管人由于各自技术系统设置而产生的净值计算尾差，以基金管理人计算结果为准。</w:t>
      </w:r>
    </w:p>
    <w:p w14:paraId="6D4630BD" w14:textId="25370449" w:rsidR="00E3116F" w:rsidRDefault="00F824BC">
      <w:pPr>
        <w:adjustRightInd w:val="0"/>
        <w:snapToGrid w:val="0"/>
        <w:spacing w:line="360" w:lineRule="auto"/>
        <w:ind w:firstLineChars="200" w:firstLine="480"/>
        <w:rPr>
          <w:rFonts w:ascii="宋体" w:hAnsi="宋体" w:cs="Arial"/>
          <w:sz w:val="24"/>
        </w:rPr>
      </w:pPr>
      <w:r>
        <w:rPr>
          <w:rFonts w:ascii="宋体" w:hAnsi="宋体" w:cs="Arial"/>
          <w:sz w:val="24"/>
        </w:rPr>
        <w:lastRenderedPageBreak/>
        <w:t>5</w:t>
      </w:r>
      <w:r w:rsidR="00821F7A">
        <w:rPr>
          <w:rFonts w:ascii="宋体" w:hAnsi="宋体" w:cs="Arial" w:hint="eastAsia"/>
          <w:sz w:val="24"/>
        </w:rPr>
        <w:t>.前述内容如法律法规或者监管部门另有规定的，从其规定。如果行业另有通行做法，基金管理人和基金托管人应本着平等和保护基金份额持有人利益的原则进行协商。</w:t>
      </w:r>
    </w:p>
    <w:p w14:paraId="38C8A75D" w14:textId="77777777" w:rsidR="00E3116F" w:rsidRDefault="00821F7A">
      <w:pPr>
        <w:adjustRightInd w:val="0"/>
        <w:snapToGrid w:val="0"/>
        <w:spacing w:line="360" w:lineRule="auto"/>
        <w:ind w:firstLineChars="200" w:firstLine="480"/>
        <w:outlineLvl w:val="0"/>
        <w:rPr>
          <w:rFonts w:ascii="宋体" w:hAnsi="宋体" w:cs="Arial"/>
          <w:sz w:val="24"/>
        </w:rPr>
      </w:pPr>
      <w:bookmarkStart w:id="98" w:name="_Hlk172127666"/>
      <w:bookmarkEnd w:id="97"/>
      <w:r>
        <w:rPr>
          <w:rFonts w:ascii="宋体" w:hAnsi="宋体" w:cs="Arial" w:hint="eastAsia"/>
          <w:sz w:val="24"/>
        </w:rPr>
        <w:t>（四）暂停估值与公告基金份额净值的情形</w:t>
      </w:r>
    </w:p>
    <w:p w14:paraId="04C9796C" w14:textId="77777777" w:rsidR="00E3116F" w:rsidRDefault="00821F7A">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1.基金投资所涉及的证券/期货交易市场或外汇市场遇法定节假日或因其他原因暂停营业时；</w:t>
      </w:r>
    </w:p>
    <w:p w14:paraId="0815B781" w14:textId="5F835485" w:rsidR="00E3116F" w:rsidRDefault="00821F7A">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2.因不可抗力或其他情形致使基金管理人、基金托管人</w:t>
      </w:r>
      <w:r w:rsidR="00C57701" w:rsidRPr="00C57701">
        <w:rPr>
          <w:rFonts w:ascii="宋体" w:hAnsi="宋体" w:cs="Arial" w:hint="eastAsia"/>
          <w:sz w:val="24"/>
        </w:rPr>
        <w:t>、境外托管人</w:t>
      </w:r>
      <w:r>
        <w:rPr>
          <w:rFonts w:ascii="宋体" w:hAnsi="宋体" w:cs="Arial" w:hint="eastAsia"/>
          <w:sz w:val="24"/>
        </w:rPr>
        <w:t>无法准确评估基金资产价值时；</w:t>
      </w:r>
    </w:p>
    <w:p w14:paraId="442D8FB4" w14:textId="77777777" w:rsidR="00E3116F" w:rsidRDefault="00821F7A">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3.</w:t>
      </w:r>
      <w:r>
        <w:rPr>
          <w:rFonts w:ascii="宋体" w:hAnsi="宋体" w:hint="eastAsia"/>
          <w:bCs/>
          <w:sz w:val="24"/>
          <w:szCs w:val="24"/>
        </w:rPr>
        <w:t>当特定资产占前一估值日基金资产净值50%以上的</w:t>
      </w:r>
      <w:r>
        <w:rPr>
          <w:rFonts w:ascii="宋体" w:hAnsi="宋体" w:cs="Arial" w:hint="eastAsia"/>
          <w:sz w:val="24"/>
        </w:rPr>
        <w:t>，经与基金托管人协商确认后，基金管理人应当暂停估值；</w:t>
      </w:r>
    </w:p>
    <w:p w14:paraId="22EEBCF1" w14:textId="77777777" w:rsidR="00E3116F" w:rsidRDefault="00821F7A">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4.法律法规、中国证监会和《基金合同》认定的其他情形。</w:t>
      </w:r>
    </w:p>
    <w:bookmarkEnd w:id="93"/>
    <w:bookmarkEnd w:id="96"/>
    <w:bookmarkEnd w:id="98"/>
    <w:p w14:paraId="3BD32724" w14:textId="77777777" w:rsidR="00E3116F" w:rsidRDefault="00821F7A">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（五）基金会计制度</w:t>
      </w:r>
    </w:p>
    <w:p w14:paraId="2E9175C2"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按国家有关部门规定的会计制度执行。</w:t>
      </w:r>
    </w:p>
    <w:p w14:paraId="1D5F599D" w14:textId="77777777" w:rsidR="00E3116F" w:rsidRDefault="00821F7A">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（六）基金账册的建立</w:t>
      </w:r>
    </w:p>
    <w:p w14:paraId="6DFD901C"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基金管理人进行基金会计核算并编制基金财务会计报告。基金管理人、基金托管人分别独立地设置、记录和保管本基金的全套账册。若基金管理人和基金托管人对会计处理方法存在分歧，应以基金管理人的处理方法为准。若当日核对不符，暂时无法查找到错账的原因而影响到基金净值信息的计算和公告的，以基金管理人的账册为准。</w:t>
      </w:r>
    </w:p>
    <w:p w14:paraId="338E653A" w14:textId="77777777" w:rsidR="00E3116F" w:rsidRDefault="00821F7A">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（七）基金财务报表与报告的编制和复核</w:t>
      </w:r>
    </w:p>
    <w:p w14:paraId="78CE4100"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1.财务报表的编制</w:t>
      </w:r>
    </w:p>
    <w:p w14:paraId="1BA0A286"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基金财务报表由基金管理人编制，基金托管人复核。</w:t>
      </w:r>
    </w:p>
    <w:p w14:paraId="7C87BC87"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2.报表复核</w:t>
      </w:r>
    </w:p>
    <w:p w14:paraId="7E587CAD"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基金托管人在收到基金管理人编制的基金财务报表后，进行独立的复核。核对不符时，应及时通知基金管理人共同查出原因，进行调整，直至双方数据完全一致。</w:t>
      </w:r>
    </w:p>
    <w:p w14:paraId="23B3FFF2"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3.财务报表的编制与复核时间安排</w:t>
      </w:r>
    </w:p>
    <w:p w14:paraId="4B6EAD92"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（1）报表的编制</w:t>
      </w:r>
    </w:p>
    <w:p w14:paraId="70059EE4"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基金管理人应当在每月结束后5个工作日内完成月度报表的编制；在季度结束之日起15个工作日内完成基金季度报告的编制；在上半年结束之日起两个</w:t>
      </w:r>
      <w:r>
        <w:rPr>
          <w:rFonts w:ascii="宋体" w:hAnsi="宋体" w:cs="Arial"/>
          <w:sz w:val="24"/>
        </w:rPr>
        <w:t>月</w:t>
      </w:r>
      <w:r>
        <w:rPr>
          <w:rFonts w:ascii="宋体" w:hAnsi="宋体" w:cs="Arial" w:hint="eastAsia"/>
          <w:sz w:val="24"/>
        </w:rPr>
        <w:t>内完成基金中期报告的编制；在每年结束之日起三个月内完成基金年度报告的编制。</w:t>
      </w:r>
      <w:r>
        <w:rPr>
          <w:rFonts w:ascii="宋体" w:hAnsi="宋体" w:cs="Arial" w:hint="eastAsia"/>
          <w:sz w:val="24"/>
        </w:rPr>
        <w:lastRenderedPageBreak/>
        <w:t>基金年度报告中的财务会计报告应当经过</w:t>
      </w:r>
      <w:r>
        <w:rPr>
          <w:rFonts w:ascii="宋体" w:hAnsi="宋体" w:cs="宋体" w:hint="eastAsia"/>
          <w:bCs/>
          <w:sz w:val="24"/>
        </w:rPr>
        <w:t>符合《中华人民共和国证券法》规定的会计师事务所</w:t>
      </w:r>
      <w:r>
        <w:rPr>
          <w:rFonts w:ascii="宋体" w:hAnsi="宋体" w:cs="Arial" w:hint="eastAsia"/>
          <w:sz w:val="24"/>
        </w:rPr>
        <w:t>审计。《基金合同》生效不足两个月的，基金管理人可以不编制当期季度报告、中期报告或者年度报告。</w:t>
      </w:r>
    </w:p>
    <w:p w14:paraId="22AD7D67" w14:textId="77777777" w:rsidR="00E3116F" w:rsidRDefault="00821F7A">
      <w:pPr>
        <w:pStyle w:val="a0"/>
        <w:adjustRightInd w:val="0"/>
        <w:snapToGrid w:val="0"/>
        <w:spacing w:line="360" w:lineRule="auto"/>
        <w:ind w:firstLine="480"/>
        <w:rPr>
          <w:rFonts w:ascii="宋体" w:hAnsi="宋体" w:cs="Arial"/>
          <w:sz w:val="24"/>
        </w:rPr>
      </w:pPr>
      <w:r>
        <w:rPr>
          <w:rFonts w:ascii="宋体" w:hAnsi="宋体" w:cs="Arial" w:hint="eastAsia"/>
          <w:sz w:val="24"/>
        </w:rPr>
        <w:t>（2）报表的复核</w:t>
      </w:r>
    </w:p>
    <w:p w14:paraId="74B09389" w14:textId="77777777" w:rsidR="00E3116F" w:rsidRDefault="00821F7A">
      <w:pPr>
        <w:pStyle w:val="a0"/>
        <w:adjustRightInd w:val="0"/>
        <w:snapToGrid w:val="0"/>
        <w:spacing w:line="360" w:lineRule="auto"/>
        <w:ind w:firstLine="480"/>
        <w:rPr>
          <w:rFonts w:ascii="宋体" w:hAnsi="宋体" w:cs="Arial"/>
          <w:sz w:val="24"/>
        </w:rPr>
      </w:pPr>
      <w:r>
        <w:rPr>
          <w:rFonts w:ascii="宋体"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3518D4AC" w14:textId="77777777" w:rsidR="00E3116F" w:rsidRDefault="00821F7A">
      <w:pPr>
        <w:pStyle w:val="a0"/>
        <w:adjustRightInd w:val="0"/>
        <w:snapToGrid w:val="0"/>
        <w:spacing w:line="360" w:lineRule="auto"/>
        <w:ind w:firstLine="480"/>
        <w:rPr>
          <w:rFonts w:ascii="宋体" w:hAnsi="宋体" w:cs="Arial"/>
          <w:sz w:val="24"/>
        </w:rPr>
      </w:pPr>
      <w:r>
        <w:rPr>
          <w:rFonts w:ascii="宋体" w:hAnsi="宋体" w:cs="Arial" w:hint="eastAsia"/>
          <w:sz w:val="24"/>
        </w:rPr>
        <w:t>基金管理人应留足充分的时间，便于基金托管人复核相关报表及报告。如果基金管理人与基金托管人不能于应当发布公告之日之前就相关报表达成一致，基金管理人按照其编制的报表对外发布公告，基金托管人有权就相关情况报中国证监会备案。</w:t>
      </w:r>
    </w:p>
    <w:p w14:paraId="6511D3C1" w14:textId="77777777" w:rsidR="00E3116F" w:rsidRDefault="00821F7A">
      <w:pPr>
        <w:pStyle w:val="a0"/>
        <w:adjustRightInd w:val="0"/>
        <w:snapToGrid w:val="0"/>
        <w:spacing w:line="360" w:lineRule="auto"/>
        <w:ind w:firstLine="480"/>
        <w:rPr>
          <w:rFonts w:ascii="宋体" w:hAnsi="宋体" w:cs="Arial"/>
          <w:sz w:val="24"/>
        </w:rPr>
      </w:pPr>
      <w:r>
        <w:rPr>
          <w:rFonts w:ascii="宋体" w:hAnsi="宋体" w:cs="Arial" w:hint="eastAsia"/>
          <w:sz w:val="24"/>
        </w:rPr>
        <w:t>（八）基金管理人应在编制季度报告、中期报告或者年度报告之前及时向基金托管人提供基金业绩比较基准的基础数据和编制结果。</w:t>
      </w:r>
    </w:p>
    <w:p w14:paraId="77F5774A" w14:textId="77777777" w:rsidR="00E3116F" w:rsidRDefault="00821F7A">
      <w:pPr>
        <w:pStyle w:val="a0"/>
        <w:adjustRightInd w:val="0"/>
        <w:snapToGrid w:val="0"/>
        <w:spacing w:line="360" w:lineRule="auto"/>
        <w:ind w:firstLine="480"/>
        <w:rPr>
          <w:rFonts w:ascii="宋体" w:hAnsi="宋体" w:cs="Arial"/>
          <w:sz w:val="24"/>
        </w:rPr>
      </w:pPr>
      <w:r>
        <w:rPr>
          <w:rFonts w:ascii="宋体" w:hAnsi="宋体" w:cs="Arial" w:hint="eastAsia"/>
          <w:sz w:val="24"/>
        </w:rPr>
        <w:t>（九）实施侧袋机制期间的基金资产估值</w:t>
      </w:r>
    </w:p>
    <w:p w14:paraId="1EEE4C78" w14:textId="77777777" w:rsidR="00E3116F" w:rsidRDefault="00821F7A">
      <w:pPr>
        <w:pStyle w:val="a0"/>
        <w:adjustRightInd w:val="0"/>
        <w:snapToGrid w:val="0"/>
        <w:spacing w:line="360" w:lineRule="auto"/>
        <w:ind w:firstLine="480"/>
        <w:rPr>
          <w:rFonts w:ascii="宋体" w:hAnsi="宋体" w:cs="Arial"/>
          <w:sz w:val="24"/>
        </w:rPr>
      </w:pPr>
      <w:r>
        <w:rPr>
          <w:rFonts w:ascii="宋体" w:hAnsi="宋体" w:cs="Arial" w:hint="eastAsia"/>
          <w:sz w:val="24"/>
        </w:rPr>
        <w:t>本基金实施侧袋机制的，应根据本部分的约定对主袋账户资产进行估值并披露主袋账户的基金净值信息，暂停披露侧袋账户份额净值。</w:t>
      </w:r>
    </w:p>
    <w:p w14:paraId="36F8515D" w14:textId="77777777" w:rsidR="00E3116F" w:rsidRDefault="00E3116F">
      <w:pPr>
        <w:pStyle w:val="a0"/>
        <w:adjustRightInd w:val="0"/>
        <w:snapToGrid w:val="0"/>
        <w:spacing w:line="360" w:lineRule="auto"/>
        <w:ind w:firstLine="480"/>
        <w:rPr>
          <w:rFonts w:ascii="宋体" w:hAnsi="宋体" w:cs="Arial"/>
          <w:sz w:val="24"/>
        </w:rPr>
      </w:pPr>
    </w:p>
    <w:p w14:paraId="6F563858" w14:textId="77777777" w:rsidR="00E3116F" w:rsidRDefault="00821F7A">
      <w:pPr>
        <w:pStyle w:val="2"/>
        <w:spacing w:line="360" w:lineRule="auto"/>
        <w:jc w:val="center"/>
        <w:rPr>
          <w:rFonts w:ascii="宋体" w:eastAsia="宋体" w:hAnsi="宋体"/>
          <w:sz w:val="30"/>
        </w:rPr>
      </w:pPr>
      <w:bookmarkStart w:id="99" w:name="_Toc516758903"/>
      <w:r>
        <w:rPr>
          <w:rFonts w:ascii="宋体" w:eastAsia="宋体" w:hAnsi="宋体" w:hint="eastAsia"/>
          <w:sz w:val="30"/>
        </w:rPr>
        <w:t>九、基金收益分配</w:t>
      </w:r>
      <w:bookmarkEnd w:id="99"/>
    </w:p>
    <w:p w14:paraId="59BC86D2" w14:textId="77777777" w:rsidR="00E3116F" w:rsidRDefault="00821F7A">
      <w:pPr>
        <w:adjustRightInd w:val="0"/>
        <w:snapToGrid w:val="0"/>
        <w:spacing w:line="360" w:lineRule="auto"/>
        <w:ind w:firstLineChars="200" w:firstLine="480"/>
        <w:rPr>
          <w:rFonts w:ascii="宋体" w:hAnsi="宋体" w:cs="Arial"/>
          <w:sz w:val="24"/>
        </w:rPr>
      </w:pPr>
      <w:bookmarkStart w:id="100" w:name="_Hlk172127746"/>
      <w:r>
        <w:rPr>
          <w:rFonts w:ascii="宋体" w:hAnsi="宋体" w:cs="Arial" w:hint="eastAsia"/>
          <w:sz w:val="24"/>
        </w:rPr>
        <w:t>基金收益分配是指按规定将基金的可分配收益按基金份额进行比例分配。</w:t>
      </w:r>
    </w:p>
    <w:p w14:paraId="308D140F" w14:textId="77777777" w:rsidR="00E3116F" w:rsidRDefault="00821F7A">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（一）基金收益分配的原则</w:t>
      </w:r>
    </w:p>
    <w:p w14:paraId="2F476143"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基金收益分配应遵循下列原则：</w:t>
      </w:r>
    </w:p>
    <w:p w14:paraId="606B0AB3"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1.本基金在符合有关基金分红条件的前提下可进行收益分配，每次收益分配比例等具体分红方案见基金管理人根据基金运作情况届时不定期发布的相关分红公告，若《基金合同》生效不满3个月可不进行收益分配；</w:t>
      </w:r>
    </w:p>
    <w:p w14:paraId="05865A2F"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2.本基金收益分配仅有现金分红一种方式；</w:t>
      </w:r>
    </w:p>
    <w:p w14:paraId="23A7C358" w14:textId="46DBC605" w:rsidR="00E3116F" w:rsidRDefault="00821F7A">
      <w:pPr>
        <w:adjustRightInd w:val="0"/>
        <w:snapToGrid w:val="0"/>
        <w:spacing w:line="360" w:lineRule="auto"/>
        <w:ind w:firstLineChars="200" w:firstLine="480"/>
        <w:rPr>
          <w:rFonts w:ascii="宋体" w:hAnsi="宋体" w:cs="Arial"/>
          <w:sz w:val="24"/>
        </w:rPr>
      </w:pPr>
      <w:r>
        <w:rPr>
          <w:rFonts w:ascii="宋体" w:hAnsi="宋体" w:cs="Arial"/>
          <w:sz w:val="24"/>
        </w:rPr>
        <w:t>3</w:t>
      </w:r>
      <w:r>
        <w:rPr>
          <w:rFonts w:ascii="宋体" w:hAnsi="宋体" w:cs="Arial" w:hint="eastAsia"/>
          <w:sz w:val="24"/>
        </w:rPr>
        <w:t>.基金收益分配后</w:t>
      </w:r>
      <w:r w:rsidR="00716A20">
        <w:rPr>
          <w:rFonts w:ascii="宋体" w:hAnsi="宋体" w:hint="eastAsia"/>
          <w:bCs/>
          <w:sz w:val="24"/>
          <w:szCs w:val="24"/>
        </w:rPr>
        <w:t>各类</w:t>
      </w:r>
      <w:r>
        <w:rPr>
          <w:rFonts w:ascii="宋体" w:hAnsi="宋体" w:cs="Arial" w:hint="eastAsia"/>
          <w:sz w:val="24"/>
        </w:rPr>
        <w:t>基金份额净值不能低于面值，即基金收益分配基准日的</w:t>
      </w:r>
      <w:r w:rsidR="00B8141A">
        <w:rPr>
          <w:rFonts w:ascii="宋体" w:hAnsi="宋体" w:hint="eastAsia"/>
          <w:bCs/>
          <w:sz w:val="24"/>
          <w:szCs w:val="24"/>
        </w:rPr>
        <w:t>各类</w:t>
      </w:r>
      <w:r>
        <w:rPr>
          <w:rFonts w:ascii="宋体" w:hAnsi="宋体" w:cs="Arial" w:hint="eastAsia"/>
          <w:sz w:val="24"/>
        </w:rPr>
        <w:t>基金份额净值减去每单位</w:t>
      </w:r>
      <w:r w:rsidR="00B8141A">
        <w:rPr>
          <w:rFonts w:ascii="宋体" w:hAnsi="宋体" w:cs="Arial" w:hint="eastAsia"/>
          <w:sz w:val="24"/>
        </w:rPr>
        <w:t>该类</w:t>
      </w:r>
      <w:r>
        <w:rPr>
          <w:rFonts w:ascii="宋体" w:hAnsi="宋体" w:cs="Arial" w:hint="eastAsia"/>
          <w:sz w:val="24"/>
        </w:rPr>
        <w:t>基金份额收益分配金额后不能低于面值；</w:t>
      </w:r>
    </w:p>
    <w:p w14:paraId="0E3E78CC" w14:textId="61E8D583" w:rsidR="00E3116F" w:rsidRDefault="00821F7A">
      <w:pPr>
        <w:adjustRightInd w:val="0"/>
        <w:snapToGrid w:val="0"/>
        <w:spacing w:line="360" w:lineRule="auto"/>
        <w:ind w:firstLineChars="200" w:firstLine="480"/>
        <w:rPr>
          <w:rFonts w:ascii="宋体" w:hAnsi="宋体" w:cs="Arial"/>
          <w:sz w:val="24"/>
        </w:rPr>
      </w:pPr>
      <w:r>
        <w:rPr>
          <w:rFonts w:ascii="宋体" w:hAnsi="宋体" w:cs="Arial"/>
          <w:sz w:val="24"/>
        </w:rPr>
        <w:t>4</w:t>
      </w:r>
      <w:r>
        <w:rPr>
          <w:rFonts w:ascii="宋体" w:hAnsi="宋体" w:cs="Arial" w:hint="eastAsia"/>
          <w:sz w:val="24"/>
        </w:rPr>
        <w:t>.</w:t>
      </w:r>
      <w:r w:rsidR="00B8141A">
        <w:rPr>
          <w:rFonts w:ascii="宋体" w:hAnsi="宋体" w:hint="eastAsia"/>
          <w:bCs/>
          <w:sz w:val="24"/>
          <w:szCs w:val="24"/>
        </w:rPr>
        <w:t>由于本基金A类基金份额</w:t>
      </w:r>
      <w:r w:rsidR="00D153E2">
        <w:rPr>
          <w:rFonts w:ascii="宋体" w:hAnsi="宋体" w:hint="eastAsia"/>
          <w:bCs/>
          <w:sz w:val="24"/>
          <w:szCs w:val="24"/>
        </w:rPr>
        <w:t>与</w:t>
      </w:r>
      <w:r w:rsidR="00B8141A">
        <w:rPr>
          <w:rFonts w:ascii="宋体" w:hAnsi="宋体" w:hint="eastAsia"/>
          <w:bCs/>
          <w:sz w:val="24"/>
          <w:szCs w:val="24"/>
        </w:rPr>
        <w:t>C类基金份额</w:t>
      </w:r>
      <w:r w:rsidR="00D153E2">
        <w:rPr>
          <w:rFonts w:ascii="宋体" w:hAnsi="宋体" w:cs="Arial" w:hint="eastAsia"/>
          <w:bCs/>
          <w:sz w:val="24"/>
        </w:rPr>
        <w:t>的基金费用不同</w:t>
      </w:r>
      <w:r w:rsidR="00B8141A">
        <w:rPr>
          <w:rFonts w:ascii="宋体" w:hAnsi="宋体" w:hint="eastAsia"/>
          <w:bCs/>
          <w:sz w:val="24"/>
          <w:szCs w:val="24"/>
        </w:rPr>
        <w:t>，各基金份额类</w:t>
      </w:r>
      <w:r w:rsidR="00B8141A">
        <w:rPr>
          <w:rFonts w:ascii="宋体" w:hAnsi="宋体" w:hint="eastAsia"/>
          <w:bCs/>
          <w:sz w:val="24"/>
          <w:szCs w:val="24"/>
        </w:rPr>
        <w:lastRenderedPageBreak/>
        <w:t>别对应的可供分配利润将有所不同。</w:t>
      </w:r>
      <w:r>
        <w:rPr>
          <w:rFonts w:ascii="宋体" w:hAnsi="宋体" w:cs="Arial" w:hint="eastAsia"/>
          <w:sz w:val="24"/>
        </w:rPr>
        <w:t>本基金</w:t>
      </w:r>
      <w:r w:rsidR="00B8141A">
        <w:rPr>
          <w:rFonts w:ascii="宋体" w:hAnsi="宋体" w:hint="eastAsia"/>
          <w:bCs/>
          <w:sz w:val="24"/>
          <w:szCs w:val="24"/>
        </w:rPr>
        <w:t>同一类别的</w:t>
      </w:r>
      <w:r>
        <w:rPr>
          <w:rFonts w:ascii="宋体" w:hAnsi="宋体" w:cs="Arial" w:hint="eastAsia"/>
          <w:sz w:val="24"/>
        </w:rPr>
        <w:t>每一基金份额享有同等分配权；</w:t>
      </w:r>
    </w:p>
    <w:p w14:paraId="0DACD4AC"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sz w:val="24"/>
        </w:rPr>
        <w:t>5</w:t>
      </w:r>
      <w:r>
        <w:rPr>
          <w:rFonts w:ascii="宋体" w:hAnsi="宋体" w:cs="Arial" w:hint="eastAsia"/>
          <w:sz w:val="24"/>
        </w:rPr>
        <w:t>.法律法规或监管机关另有规定的，从其规定。</w:t>
      </w:r>
    </w:p>
    <w:p w14:paraId="3A67848E" w14:textId="267EB4C1" w:rsidR="00E3116F" w:rsidRDefault="00821F7A">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在不违反法律法规且对基金份额持有人利益无实质性不利影响的前提下，基金管理人在与基金托管人协商一致</w:t>
      </w:r>
      <w:r w:rsidR="001650CF">
        <w:rPr>
          <w:rFonts w:ascii="宋体" w:hAnsi="宋体" w:cs="Arial" w:hint="eastAsia"/>
          <w:sz w:val="24"/>
        </w:rPr>
        <w:t>并履行适当程序</w:t>
      </w:r>
      <w:r>
        <w:rPr>
          <w:rFonts w:ascii="宋体" w:hAnsi="宋体" w:cs="Arial" w:hint="eastAsia"/>
          <w:sz w:val="24"/>
        </w:rPr>
        <w:t>后可酌情调整以上基金收益分配原则和支付方式，并于变更实施日前按照《信息披露办法》的规定在规定媒介上公告。</w:t>
      </w:r>
    </w:p>
    <w:p w14:paraId="30550CA9" w14:textId="77777777" w:rsidR="00E3116F" w:rsidRDefault="00821F7A">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（二）基金收益分配的时间和程序</w:t>
      </w:r>
    </w:p>
    <w:p w14:paraId="49D37766" w14:textId="77777777" w:rsidR="00E3116F" w:rsidRDefault="00821F7A">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本基金收益分配方案由基金管理人拟订，并由基金托管人复核，依照《信息披露办法》的有关规定在规定媒介公告。基金收益分配方案公告后（依据具体方案的规定），基金管理人就支付的现金红利向基金托管人发送划款指令，基金托管人按照基金管理人的指令及时进行分红资金的划付。</w:t>
      </w:r>
    </w:p>
    <w:p w14:paraId="5098733F" w14:textId="77777777" w:rsidR="00E3116F" w:rsidRDefault="00821F7A">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基金收益分配时所发生的银行转账或其他手续费用由投资人自行承担。</w:t>
      </w:r>
    </w:p>
    <w:bookmarkEnd w:id="100"/>
    <w:p w14:paraId="038A2702" w14:textId="77777777" w:rsidR="00E3116F" w:rsidRDefault="00821F7A">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（三）实施侧袋机制期间的收益分配</w:t>
      </w:r>
    </w:p>
    <w:p w14:paraId="66073983" w14:textId="77777777" w:rsidR="00E3116F" w:rsidRDefault="00821F7A">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本基金实施侧袋机制的，侧袋账户不进行收益分配，详见招募说明书的规定或相关公告。</w:t>
      </w:r>
    </w:p>
    <w:p w14:paraId="3E3642DD" w14:textId="77777777" w:rsidR="00E3116F" w:rsidRDefault="00E3116F">
      <w:pPr>
        <w:adjustRightInd w:val="0"/>
        <w:snapToGrid w:val="0"/>
        <w:spacing w:line="360" w:lineRule="auto"/>
        <w:ind w:firstLineChars="200" w:firstLine="480"/>
        <w:outlineLvl w:val="0"/>
        <w:rPr>
          <w:rFonts w:ascii="宋体" w:hAnsi="宋体" w:cs="Arial"/>
          <w:sz w:val="24"/>
        </w:rPr>
      </w:pPr>
    </w:p>
    <w:p w14:paraId="42AFDDD2" w14:textId="77777777" w:rsidR="00E3116F" w:rsidRDefault="00821F7A">
      <w:pPr>
        <w:pStyle w:val="2"/>
        <w:spacing w:line="360" w:lineRule="auto"/>
        <w:jc w:val="center"/>
        <w:rPr>
          <w:rFonts w:ascii="宋体" w:eastAsia="宋体" w:hAnsi="宋体"/>
          <w:sz w:val="30"/>
        </w:rPr>
      </w:pPr>
      <w:bookmarkStart w:id="101" w:name="_Toc516758904"/>
      <w:r>
        <w:rPr>
          <w:rFonts w:ascii="宋体" w:eastAsia="宋体" w:hAnsi="宋体" w:hint="eastAsia"/>
          <w:sz w:val="30"/>
        </w:rPr>
        <w:t>十、基金信息披露</w:t>
      </w:r>
      <w:bookmarkEnd w:id="101"/>
    </w:p>
    <w:p w14:paraId="6FDD8A57" w14:textId="77777777" w:rsidR="00E3116F" w:rsidRDefault="00821F7A">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（一）保密义务</w:t>
      </w:r>
    </w:p>
    <w:p w14:paraId="21112FA2"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基金托管人和基金管理人应按法律法规、《基金合同》的有关规定进行信息披露，拟公开披露的信息在公开披露之前应予保密。除按《基金法》、《基金合同》、《信息披露办法》、《流动性风险管理规定》及其他有关规定进行信息披露外，基金管理人和基金托管人对基金运作中产生的信息以及从对方获得的业务信息应予保密。但是，如下情况不应视为基金管理人或基金托管人违反保密义务：</w:t>
      </w:r>
    </w:p>
    <w:p w14:paraId="2B5D0F6D"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1.非因基金管理人和基金托管人的原因导致保密信息被披露、泄露或公开；</w:t>
      </w:r>
    </w:p>
    <w:p w14:paraId="2C259D91"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2.基金管理人和基金托管人为遵守和服从法院判决或裁定、仲裁裁决或中国证监会等监管机构的命令、决定所做出的信息披露或公开；</w:t>
      </w:r>
    </w:p>
    <w:p w14:paraId="3A1A9CC4"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3.</w:t>
      </w:r>
      <w:r>
        <w:rPr>
          <w:rFonts w:hint="eastAsia"/>
        </w:rPr>
        <w:t xml:space="preserve"> </w:t>
      </w:r>
      <w:r>
        <w:rPr>
          <w:rFonts w:ascii="宋体" w:hAnsi="宋体" w:cs="Arial" w:hint="eastAsia"/>
          <w:sz w:val="24"/>
        </w:rPr>
        <w:t>因审计、法律等专业服务向外部专业顾问提供信息。</w:t>
      </w:r>
    </w:p>
    <w:p w14:paraId="29FCE3EB" w14:textId="77777777" w:rsidR="00E3116F" w:rsidRDefault="00821F7A">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lastRenderedPageBreak/>
        <w:t>（二）信息披露的内容</w:t>
      </w:r>
    </w:p>
    <w:p w14:paraId="65C08A9B" w14:textId="732EA54D"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根据《信息披露办法》的要求，本基金信息披露的文件包括基金招募说明书、基金合同、托管协议、基金产品资料概要、基金份额发售公告、基金合同生效公告、</w:t>
      </w:r>
      <w:r w:rsidR="00C851AF">
        <w:rPr>
          <w:rFonts w:ascii="宋体" w:hAnsi="宋体" w:cs="Arial" w:hint="eastAsia"/>
          <w:sz w:val="24"/>
        </w:rPr>
        <w:t>基金份额申购、赎回价格、基金定期报告（包括基金年度报告、基金中期报告和基金季度报告）、临时报告、澄清公告、</w:t>
      </w:r>
      <w:r>
        <w:rPr>
          <w:rFonts w:ascii="宋体" w:hAnsi="宋体" w:cs="Arial" w:hint="eastAsia"/>
          <w:sz w:val="24"/>
        </w:rPr>
        <w:t>基金</w:t>
      </w:r>
      <w:r>
        <w:rPr>
          <w:rFonts w:ascii="宋体" w:hAnsi="宋体" w:cs="Arial"/>
          <w:sz w:val="24"/>
        </w:rPr>
        <w:t>清算报告</w:t>
      </w:r>
      <w:r>
        <w:rPr>
          <w:rFonts w:ascii="宋体" w:hAnsi="宋体" w:cs="Arial" w:hint="eastAsia"/>
          <w:sz w:val="24"/>
        </w:rPr>
        <w:t>、基金份额持有人大会决议、投资</w:t>
      </w:r>
      <w:r w:rsidR="00C851AF">
        <w:rPr>
          <w:rFonts w:ascii="宋体" w:hAnsi="宋体" w:cs="Arial" w:hint="eastAsia"/>
          <w:sz w:val="24"/>
        </w:rPr>
        <w:t>境内</w:t>
      </w:r>
      <w:r>
        <w:rPr>
          <w:rFonts w:ascii="宋体" w:hAnsi="宋体" w:cs="Arial" w:hint="eastAsia"/>
          <w:sz w:val="24"/>
        </w:rPr>
        <w:t>资产支持证券/</w:t>
      </w:r>
      <w:r w:rsidR="00C851AF">
        <w:rPr>
          <w:rFonts w:ascii="宋体" w:hAnsi="宋体" w:cs="Arial" w:hint="eastAsia"/>
          <w:sz w:val="24"/>
        </w:rPr>
        <w:t>境内</w:t>
      </w:r>
      <w:r>
        <w:rPr>
          <w:rFonts w:ascii="宋体" w:hAnsi="宋体" w:cs="Arial" w:hint="eastAsia"/>
          <w:sz w:val="24"/>
        </w:rPr>
        <w:t>国债期货/</w:t>
      </w:r>
      <w:r w:rsidR="00C851AF">
        <w:rPr>
          <w:rFonts w:ascii="宋体" w:hAnsi="宋体" w:cs="Arial" w:hint="eastAsia"/>
          <w:sz w:val="24"/>
        </w:rPr>
        <w:t>境内</w:t>
      </w:r>
      <w:r>
        <w:rPr>
          <w:rFonts w:ascii="宋体" w:hAnsi="宋体" w:cs="Arial" w:hint="eastAsia"/>
          <w:sz w:val="24"/>
        </w:rPr>
        <w:t>股指期货/</w:t>
      </w:r>
      <w:r w:rsidR="00C851AF">
        <w:rPr>
          <w:rFonts w:ascii="宋体" w:hAnsi="宋体" w:cs="Arial" w:hint="eastAsia"/>
          <w:sz w:val="24"/>
        </w:rPr>
        <w:t>境内</w:t>
      </w:r>
      <w:r>
        <w:rPr>
          <w:rFonts w:ascii="宋体" w:hAnsi="宋体" w:cs="Arial" w:hint="eastAsia"/>
          <w:sz w:val="24"/>
        </w:rPr>
        <w:t>股票期权/参与融资的/投资港股通标的股票/</w:t>
      </w:r>
      <w:r>
        <w:rPr>
          <w:rFonts w:ascii="宋体" w:hAnsi="宋体" w:hint="eastAsia"/>
          <w:bCs/>
          <w:sz w:val="24"/>
          <w:szCs w:val="24"/>
        </w:rPr>
        <w:t>投资</w:t>
      </w:r>
      <w:r w:rsidR="00C851AF">
        <w:rPr>
          <w:rFonts w:ascii="宋体" w:hAnsi="宋体" w:hint="eastAsia"/>
          <w:bCs/>
          <w:sz w:val="24"/>
          <w:szCs w:val="24"/>
        </w:rPr>
        <w:t>境内</w:t>
      </w:r>
      <w:r>
        <w:rPr>
          <w:rFonts w:ascii="宋体" w:hAnsi="宋体" w:hint="eastAsia"/>
          <w:bCs/>
          <w:sz w:val="24"/>
          <w:szCs w:val="24"/>
        </w:rPr>
        <w:t>非公开发行股票</w:t>
      </w:r>
      <w:r>
        <w:rPr>
          <w:rFonts w:ascii="宋体" w:hAnsi="宋体" w:cs="Arial" w:hint="eastAsia"/>
          <w:sz w:val="24"/>
        </w:rPr>
        <w:t>相关公告、</w:t>
      </w:r>
      <w:r>
        <w:rPr>
          <w:rFonts w:ascii="宋体" w:hAnsi="宋体" w:hint="eastAsia"/>
          <w:bCs/>
          <w:sz w:val="24"/>
          <w:szCs w:val="24"/>
        </w:rPr>
        <w:t>实施侧袋机制期间的信息披露、中国证监会规定的其他信息</w:t>
      </w:r>
      <w:r>
        <w:rPr>
          <w:rFonts w:ascii="宋体" w:hAnsi="宋体" w:cs="Arial" w:hint="eastAsia"/>
          <w:sz w:val="24"/>
        </w:rPr>
        <w:t>等其他必要的公告文件，由基金管理人拟定并负责公布。</w:t>
      </w:r>
    </w:p>
    <w:p w14:paraId="26924D27" w14:textId="77777777" w:rsidR="00E3116F" w:rsidRDefault="00821F7A">
      <w:pPr>
        <w:spacing w:line="360" w:lineRule="auto"/>
        <w:ind w:firstLineChars="200" w:firstLine="480"/>
        <w:rPr>
          <w:rFonts w:ascii="宋体" w:hAnsi="宋体" w:cs="Arial"/>
          <w:sz w:val="24"/>
        </w:rPr>
      </w:pPr>
      <w:r>
        <w:rPr>
          <w:rFonts w:ascii="宋体" w:hAnsi="宋体" w:cs="Arial" w:hint="eastAsia"/>
          <w:sz w:val="24"/>
        </w:rPr>
        <w:t>基金年度报告中的财务会计报告需经符合《中华人民共和国证券法》规定的会计师事务所审计后，方可披露。</w:t>
      </w:r>
    </w:p>
    <w:p w14:paraId="55A699C6" w14:textId="77777777" w:rsidR="00E3116F" w:rsidRDefault="00821F7A">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（三）基金托管人和基金管理人在信息披露中的职责和信息披露程序</w:t>
      </w:r>
    </w:p>
    <w:p w14:paraId="73661B24"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1.职责</w:t>
      </w:r>
    </w:p>
    <w:p w14:paraId="2F2C2898"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本章第（二）条规定的应由基金托管人复核的事项进行复核，基金托管人复核无误后，由基金管理人予以公布。</w:t>
      </w:r>
    </w:p>
    <w:p w14:paraId="4C1E1414"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对于不需要基金托管人复核的信息，基金管理人在公告前应告知基金托管人。</w:t>
      </w:r>
    </w:p>
    <w:p w14:paraId="38F51A55"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基金管理人和基金托管人应积极配合、互相监督，保证其履行按照法定方式和限时披露的义务。</w:t>
      </w:r>
    </w:p>
    <w:p w14:paraId="2E000B44"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基金管理人应当在中国证监会规定的时间内，将应予披露的基金信息通过规定媒介披露。根据法律法规应由基金托管人公开披露的信息，基金托管人将通过规定媒介公开披露。</w:t>
      </w:r>
    </w:p>
    <w:p w14:paraId="52BD081E"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当出现下述情况时，基金管理人和基金托管人可暂停或延迟披露基金相关信息：</w:t>
      </w:r>
    </w:p>
    <w:p w14:paraId="38ED4DA0"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（1）基金投资所涉及的证券/期货交易所或外汇市场遇法定节假日或因其他原因暂停营业时；</w:t>
      </w:r>
    </w:p>
    <w:p w14:paraId="02C7CE18"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（2）不可抗力；</w:t>
      </w:r>
    </w:p>
    <w:p w14:paraId="463A0F76"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（3）发生暂停估值的情形；</w:t>
      </w:r>
    </w:p>
    <w:p w14:paraId="3C700A2C"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lastRenderedPageBreak/>
        <w:t>（4）法律法规规定、中国证监会或《基金合同》认定的其他情形。</w:t>
      </w:r>
    </w:p>
    <w:p w14:paraId="3142FE78"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2.程序</w:t>
      </w:r>
    </w:p>
    <w:p w14:paraId="72291C2E"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14:paraId="2E2B01B4"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3.信息文本的存放</w:t>
      </w:r>
    </w:p>
    <w:p w14:paraId="42ED2CEF" w14:textId="77777777" w:rsidR="00E3116F" w:rsidRDefault="00821F7A">
      <w:pPr>
        <w:pStyle w:val="a0"/>
        <w:spacing w:line="360" w:lineRule="auto"/>
        <w:ind w:firstLine="480"/>
        <w:rPr>
          <w:rFonts w:ascii="宋体" w:hAnsi="宋体" w:cs="Arial"/>
          <w:sz w:val="24"/>
        </w:rPr>
      </w:pPr>
      <w:r>
        <w:rPr>
          <w:rFonts w:ascii="宋体" w:hAnsi="宋体" w:cs="Arial" w:hint="eastAsia"/>
          <w:sz w:val="24"/>
        </w:rPr>
        <w:t>依法必须披露的信息发布后，基金管理人、基金托管人应当按照相关法律法规规定将信息置备于各自住所，供公众查阅、复制。基金管理人和基金托管人应保证文本的内容与所公告的内容完全一致。</w:t>
      </w:r>
    </w:p>
    <w:p w14:paraId="1FE19ECC" w14:textId="77777777" w:rsidR="00E3116F" w:rsidRDefault="00821F7A">
      <w:pPr>
        <w:pStyle w:val="a0"/>
        <w:spacing w:line="360" w:lineRule="auto"/>
        <w:ind w:firstLine="480"/>
        <w:rPr>
          <w:rFonts w:ascii="宋体" w:hAnsi="宋体" w:cs="Arial"/>
          <w:sz w:val="24"/>
        </w:rPr>
      </w:pPr>
      <w:r>
        <w:rPr>
          <w:rFonts w:ascii="宋体" w:hAnsi="宋体" w:cs="Arial" w:hint="eastAsia"/>
          <w:sz w:val="24"/>
        </w:rPr>
        <w:t>（四）实施侧袋机制期间的信息披露</w:t>
      </w:r>
    </w:p>
    <w:p w14:paraId="2D95C703" w14:textId="77777777" w:rsidR="00E3116F" w:rsidRDefault="00821F7A">
      <w:pPr>
        <w:pStyle w:val="a0"/>
        <w:spacing w:line="360" w:lineRule="auto"/>
        <w:ind w:firstLine="480"/>
        <w:rPr>
          <w:rFonts w:ascii="宋体" w:hAnsi="宋体" w:cs="Arial"/>
          <w:sz w:val="24"/>
        </w:rPr>
      </w:pPr>
      <w:r>
        <w:rPr>
          <w:rFonts w:ascii="宋体" w:hAnsi="宋体" w:cs="Arial" w:hint="eastAsia"/>
          <w:sz w:val="24"/>
        </w:rPr>
        <w:t>本基金实施侧袋机制的，相关信息披露义务人应当根据法律法规、基金合同和招募说明书的规定进行信息披露，详见招募说明书的规定。</w:t>
      </w:r>
    </w:p>
    <w:p w14:paraId="66007BD4" w14:textId="77777777" w:rsidR="00E3116F" w:rsidRDefault="00821F7A">
      <w:pPr>
        <w:pStyle w:val="a0"/>
        <w:spacing w:line="360" w:lineRule="auto"/>
        <w:ind w:firstLine="480"/>
        <w:rPr>
          <w:rFonts w:ascii="宋体" w:hAnsi="宋体" w:cs="Arial"/>
          <w:sz w:val="24"/>
        </w:rPr>
      </w:pPr>
      <w:r>
        <w:rPr>
          <w:rFonts w:ascii="宋体" w:hAnsi="宋体" w:cs="Arial" w:hint="eastAsia"/>
          <w:sz w:val="24"/>
        </w:rPr>
        <w:t>（五）法律法规或监管部门对适用于本基金的信息披露另有规定的，从其规定。如规定发生变化的，从其最新规定。</w:t>
      </w:r>
    </w:p>
    <w:p w14:paraId="3B9B67A1" w14:textId="77777777" w:rsidR="00E3116F" w:rsidRDefault="00E3116F">
      <w:pPr>
        <w:pStyle w:val="a0"/>
        <w:spacing w:line="360" w:lineRule="auto"/>
        <w:ind w:firstLine="480"/>
        <w:rPr>
          <w:rFonts w:ascii="宋体" w:hAnsi="宋体" w:cs="Arial"/>
          <w:sz w:val="24"/>
        </w:rPr>
      </w:pPr>
    </w:p>
    <w:p w14:paraId="5742A736" w14:textId="77777777" w:rsidR="00E3116F" w:rsidRDefault="00821F7A">
      <w:pPr>
        <w:pStyle w:val="2"/>
        <w:spacing w:line="360" w:lineRule="auto"/>
        <w:jc w:val="center"/>
        <w:rPr>
          <w:rFonts w:ascii="宋体" w:eastAsia="宋体" w:hAnsi="宋体"/>
          <w:sz w:val="30"/>
        </w:rPr>
      </w:pPr>
      <w:bookmarkStart w:id="102" w:name="_Toc516758905"/>
      <w:r>
        <w:rPr>
          <w:rFonts w:ascii="宋体" w:eastAsia="宋体" w:hAnsi="宋体" w:hint="eastAsia"/>
          <w:sz w:val="30"/>
        </w:rPr>
        <w:t>十一、基金费用</w:t>
      </w:r>
      <w:bookmarkEnd w:id="102"/>
    </w:p>
    <w:p w14:paraId="33159EA1"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（一）基金管理费的计提比例和计提方法</w:t>
      </w:r>
    </w:p>
    <w:p w14:paraId="43BF5946" w14:textId="77777777" w:rsidR="00E3116F" w:rsidRDefault="00821F7A">
      <w:pPr>
        <w:spacing w:line="360" w:lineRule="auto"/>
        <w:ind w:firstLineChars="200" w:firstLine="480"/>
        <w:rPr>
          <w:bCs/>
          <w:sz w:val="24"/>
          <w14:ligatures w14:val="standardContextual"/>
        </w:rPr>
      </w:pPr>
      <w:r>
        <w:rPr>
          <w:rFonts w:hint="eastAsia"/>
          <w:bCs/>
          <w:sz w:val="24"/>
          <w14:ligatures w14:val="standardContextual"/>
        </w:rPr>
        <w:t>本基金根据每一基金份额的持有期限与持有期间年化收益率，在赎回</w:t>
      </w:r>
      <w:bookmarkStart w:id="103" w:name="_Hlk195865221"/>
      <w:r>
        <w:rPr>
          <w:rFonts w:hint="eastAsia"/>
          <w:bCs/>
          <w:sz w:val="24"/>
          <w14:ligatures w14:val="standardContextual"/>
        </w:rPr>
        <w:t>、转出</w:t>
      </w:r>
      <w:bookmarkEnd w:id="103"/>
      <w:r>
        <w:rPr>
          <w:rFonts w:hint="eastAsia"/>
          <w:bCs/>
          <w:sz w:val="24"/>
          <w14:ligatures w14:val="standardContextual"/>
        </w:rPr>
        <w:t>基金份额</w:t>
      </w:r>
      <w:bookmarkStart w:id="104" w:name="_Hlk195865226"/>
      <w:r>
        <w:rPr>
          <w:rFonts w:hint="eastAsia"/>
          <w:bCs/>
          <w:sz w:val="24"/>
          <w14:ligatures w14:val="standardContextual"/>
        </w:rPr>
        <w:t>或基金合同终止的情形发生</w:t>
      </w:r>
      <w:bookmarkEnd w:id="104"/>
      <w:r>
        <w:rPr>
          <w:rFonts w:hint="eastAsia"/>
          <w:bCs/>
          <w:sz w:val="24"/>
          <w14:ligatures w14:val="standardContextual"/>
        </w:rPr>
        <w:t>时确定该笔基金份额对应的管理费。当投资者赎回</w:t>
      </w:r>
      <w:bookmarkStart w:id="105" w:name="_Hlk195865234"/>
      <w:r>
        <w:rPr>
          <w:rFonts w:hint="eastAsia"/>
          <w:bCs/>
          <w:sz w:val="24"/>
          <w14:ligatures w14:val="standardContextual"/>
        </w:rPr>
        <w:t>、转出基金份额或基金合同终止的情形发生</w:t>
      </w:r>
      <w:bookmarkEnd w:id="105"/>
      <w:r>
        <w:rPr>
          <w:rFonts w:hint="eastAsia"/>
          <w:bCs/>
          <w:sz w:val="24"/>
          <w14:ligatures w14:val="standardContextual"/>
        </w:rPr>
        <w:t>时，持有期限不足一年（即</w:t>
      </w:r>
      <w:r>
        <w:rPr>
          <w:rFonts w:hint="eastAsia"/>
          <w:bCs/>
          <w:sz w:val="24"/>
          <w14:ligatures w14:val="standardContextual"/>
        </w:rPr>
        <w:t>365</w:t>
      </w:r>
      <w:r>
        <w:rPr>
          <w:rFonts w:hint="eastAsia"/>
          <w:bCs/>
          <w:sz w:val="24"/>
          <w14:ligatures w14:val="standardContextual"/>
        </w:rPr>
        <w:t>天，下同），则按</w:t>
      </w:r>
      <w:r>
        <w:rPr>
          <w:rFonts w:hint="eastAsia"/>
          <w:bCs/>
          <w:sz w:val="24"/>
          <w14:ligatures w14:val="standardContextual"/>
        </w:rPr>
        <w:t>1.20%</w:t>
      </w:r>
      <w:r>
        <w:rPr>
          <w:rFonts w:hint="eastAsia"/>
          <w:bCs/>
          <w:sz w:val="24"/>
          <w14:ligatures w14:val="standardContextual"/>
        </w:rPr>
        <w:t>年费率收取管理费；持有期限达到一年及以上，则根据持有期间年化收益率分为以下三种情况，分别确定对应的管理费率档位：</w:t>
      </w:r>
    </w:p>
    <w:p w14:paraId="1ED0B5DD" w14:textId="77777777" w:rsidR="00E3116F" w:rsidRDefault="00821F7A">
      <w:pPr>
        <w:spacing w:line="360" w:lineRule="auto"/>
        <w:ind w:firstLineChars="200" w:firstLine="480"/>
        <w:rPr>
          <w:bCs/>
          <w:sz w:val="24"/>
          <w14:ligatures w14:val="standardContextual"/>
        </w:rPr>
      </w:pPr>
      <w:r>
        <w:rPr>
          <w:rFonts w:hint="eastAsia"/>
          <w:bCs/>
          <w:sz w:val="24"/>
          <w14:ligatures w14:val="standardContextual"/>
        </w:rPr>
        <w:t>若持有期间相对业绩比较基准的年化超额收益率（扣除超额管理费后）超过</w:t>
      </w:r>
      <w:r>
        <w:rPr>
          <w:rFonts w:hint="eastAsia"/>
          <w:bCs/>
          <w:sz w:val="24"/>
          <w14:ligatures w14:val="standardContextual"/>
        </w:rPr>
        <w:t>6%</w:t>
      </w:r>
      <w:r>
        <w:rPr>
          <w:rFonts w:hint="eastAsia"/>
          <w:bCs/>
          <w:sz w:val="24"/>
          <w14:ligatures w14:val="standardContextual"/>
        </w:rPr>
        <w:t>且持有收益率（扣除超额管理费后）为正，按</w:t>
      </w:r>
      <w:r>
        <w:rPr>
          <w:rFonts w:hint="eastAsia"/>
          <w:bCs/>
          <w:sz w:val="24"/>
          <w14:ligatures w14:val="standardContextual"/>
        </w:rPr>
        <w:t>1.50%</w:t>
      </w:r>
      <w:r>
        <w:rPr>
          <w:rFonts w:hint="eastAsia"/>
          <w:bCs/>
          <w:sz w:val="24"/>
          <w14:ligatures w14:val="standardContextual"/>
        </w:rPr>
        <w:t>年费率确认管理费；若持有期间的年化超额收益率在</w:t>
      </w:r>
      <w:r>
        <w:rPr>
          <w:rFonts w:hint="eastAsia"/>
          <w:bCs/>
          <w:sz w:val="24"/>
          <w14:ligatures w14:val="standardContextual"/>
        </w:rPr>
        <w:t>-3%</w:t>
      </w:r>
      <w:r>
        <w:rPr>
          <w:rFonts w:hint="eastAsia"/>
          <w:bCs/>
          <w:sz w:val="24"/>
          <w14:ligatures w14:val="standardContextual"/>
        </w:rPr>
        <w:t>及以下，按</w:t>
      </w:r>
      <w:r>
        <w:rPr>
          <w:rFonts w:hint="eastAsia"/>
          <w:bCs/>
          <w:sz w:val="24"/>
          <w14:ligatures w14:val="standardContextual"/>
        </w:rPr>
        <w:t>0.60%</w:t>
      </w:r>
      <w:r>
        <w:rPr>
          <w:rFonts w:hint="eastAsia"/>
          <w:bCs/>
          <w:sz w:val="24"/>
          <w14:ligatures w14:val="standardContextual"/>
        </w:rPr>
        <w:t>年费率确认管理费；其他情形按</w:t>
      </w:r>
      <w:r>
        <w:rPr>
          <w:rFonts w:hint="eastAsia"/>
          <w:bCs/>
          <w:sz w:val="24"/>
          <w14:ligatures w14:val="standardContextual"/>
        </w:rPr>
        <w:t>1.20%</w:t>
      </w:r>
      <w:r>
        <w:rPr>
          <w:rFonts w:hint="eastAsia"/>
          <w:bCs/>
          <w:sz w:val="24"/>
          <w14:ligatures w14:val="standardContextual"/>
        </w:rPr>
        <w:t>年费率确认管理费。</w:t>
      </w:r>
    </w:p>
    <w:tbl>
      <w:tblPr>
        <w:tblStyle w:val="50"/>
        <w:tblW w:w="6658" w:type="dxa"/>
        <w:jc w:val="center"/>
        <w:tblLook w:val="04A0" w:firstRow="1" w:lastRow="0" w:firstColumn="1" w:lastColumn="0" w:noHBand="0" w:noVBand="1"/>
      </w:tblPr>
      <w:tblGrid>
        <w:gridCol w:w="3827"/>
        <w:gridCol w:w="2831"/>
      </w:tblGrid>
      <w:tr w:rsidR="00E3116F" w14:paraId="55DD9AE7" w14:textId="77777777">
        <w:trPr>
          <w:trHeight w:val="90"/>
          <w:jc w:val="center"/>
        </w:trPr>
        <w:tc>
          <w:tcPr>
            <w:tcW w:w="3827" w:type="dxa"/>
            <w:vAlign w:val="center"/>
          </w:tcPr>
          <w:p w14:paraId="47DD942F" w14:textId="77777777" w:rsidR="00E3116F" w:rsidRDefault="00821F7A">
            <w:pPr>
              <w:spacing w:line="276" w:lineRule="auto"/>
              <w:jc w:val="center"/>
              <w:rPr>
                <w:b/>
                <w:sz w:val="22"/>
                <w14:ligatures w14:val="standardContextual"/>
              </w:rPr>
            </w:pPr>
            <w:r>
              <w:rPr>
                <w:rFonts w:hint="eastAsia"/>
                <w:b/>
                <w:sz w:val="22"/>
                <w14:ligatures w14:val="standardContextual"/>
              </w:rPr>
              <w:t>持有期间年化收益率（</w:t>
            </w:r>
            <w:r>
              <w:rPr>
                <w:rFonts w:hint="eastAsia"/>
                <w:b/>
                <w:sz w:val="22"/>
                <w14:ligatures w14:val="standardContextual"/>
              </w:rPr>
              <w:t>R</w:t>
            </w:r>
            <w:r>
              <w:rPr>
                <w:rFonts w:hint="eastAsia"/>
                <w:b/>
                <w:sz w:val="22"/>
                <w14:ligatures w14:val="standardContextual"/>
              </w:rPr>
              <w:t>）</w:t>
            </w:r>
          </w:p>
        </w:tc>
        <w:tc>
          <w:tcPr>
            <w:tcW w:w="2831" w:type="dxa"/>
            <w:vAlign w:val="center"/>
          </w:tcPr>
          <w:p w14:paraId="1A8AB20F" w14:textId="77777777" w:rsidR="00E3116F" w:rsidRDefault="00821F7A">
            <w:pPr>
              <w:spacing w:line="276" w:lineRule="auto"/>
              <w:jc w:val="center"/>
              <w:rPr>
                <w:b/>
                <w:sz w:val="22"/>
                <w14:ligatures w14:val="standardContextual"/>
              </w:rPr>
            </w:pPr>
            <w:r>
              <w:rPr>
                <w:rFonts w:hint="eastAsia"/>
                <w:b/>
                <w:sz w:val="22"/>
                <w14:ligatures w14:val="standardContextual"/>
              </w:rPr>
              <w:t>管理费率（年费率）</w:t>
            </w:r>
          </w:p>
        </w:tc>
      </w:tr>
      <w:tr w:rsidR="00E3116F" w14:paraId="4064FEC1" w14:textId="77777777">
        <w:trPr>
          <w:trHeight w:val="228"/>
          <w:jc w:val="center"/>
        </w:trPr>
        <w:tc>
          <w:tcPr>
            <w:tcW w:w="3827" w:type="dxa"/>
            <w:vAlign w:val="center"/>
          </w:tcPr>
          <w:p w14:paraId="318C6543" w14:textId="77777777" w:rsidR="00E3116F" w:rsidRDefault="00821F7A">
            <w:pPr>
              <w:spacing w:line="276" w:lineRule="auto"/>
              <w:jc w:val="center"/>
              <w:rPr>
                <w:b/>
                <w:sz w:val="22"/>
                <w14:ligatures w14:val="standardContextual"/>
              </w:rPr>
            </w:pPr>
            <w:r>
              <w:rPr>
                <w:bCs/>
                <w:sz w:val="22"/>
              </w:rPr>
              <w:t>R</w:t>
            </w:r>
            <w:r>
              <w:rPr>
                <w:rFonts w:ascii="仿宋" w:eastAsia="仿宋" w:hAnsi="仿宋"/>
                <w:bCs/>
                <w:sz w:val="22"/>
              </w:rPr>
              <w:t>＞</w:t>
            </w:r>
            <w:r>
              <w:rPr>
                <w:bCs/>
                <w:sz w:val="22"/>
              </w:rPr>
              <w:t>R</w:t>
            </w:r>
            <w:r>
              <w:rPr>
                <w:rFonts w:ascii="Cambria" w:hAnsi="Cambria"/>
                <w:spacing w:val="-2"/>
                <w:sz w:val="22"/>
                <w:vertAlign w:val="subscript"/>
              </w:rPr>
              <w:t>b</w:t>
            </w:r>
            <w:r>
              <w:rPr>
                <w:bCs/>
                <w:sz w:val="22"/>
              </w:rPr>
              <w:t>+6%</w:t>
            </w:r>
            <w:r>
              <w:rPr>
                <w:bCs/>
                <w:sz w:val="22"/>
              </w:rPr>
              <w:t>，</w:t>
            </w:r>
            <w:r>
              <w:rPr>
                <w:bCs/>
                <w:sz w:val="22"/>
              </w:rPr>
              <w:t>R</w:t>
            </w:r>
            <w:r>
              <w:rPr>
                <w:rFonts w:ascii="仿宋" w:eastAsia="仿宋" w:hAnsi="仿宋"/>
                <w:bCs/>
                <w:sz w:val="22"/>
              </w:rPr>
              <w:t>＞</w:t>
            </w:r>
            <w:r>
              <w:rPr>
                <w:bCs/>
                <w:sz w:val="22"/>
              </w:rPr>
              <w:t>0</w:t>
            </w:r>
          </w:p>
        </w:tc>
        <w:tc>
          <w:tcPr>
            <w:tcW w:w="2831" w:type="dxa"/>
            <w:vAlign w:val="center"/>
          </w:tcPr>
          <w:p w14:paraId="721590E8" w14:textId="77777777" w:rsidR="00E3116F" w:rsidRDefault="00821F7A">
            <w:pPr>
              <w:spacing w:line="276" w:lineRule="auto"/>
              <w:jc w:val="center"/>
              <w:rPr>
                <w:rFonts w:ascii="Cambria" w:eastAsia="仿宋" w:hAnsi="Cambria"/>
                <w:kern w:val="0"/>
                <w:sz w:val="22"/>
                <w14:ligatures w14:val="standardContextual"/>
              </w:rPr>
            </w:pPr>
            <w:r>
              <w:rPr>
                <w:rFonts w:ascii="Cambria" w:eastAsia="仿宋" w:hAnsi="Cambria"/>
                <w:kern w:val="0"/>
                <w:sz w:val="22"/>
                <w14:ligatures w14:val="standardContextual"/>
              </w:rPr>
              <w:t>1.50%/</w:t>
            </w:r>
            <w:r>
              <w:rPr>
                <w:rFonts w:ascii="宋体" w:hAnsi="宋体"/>
                <w:bCs/>
                <w:kern w:val="0"/>
                <w:sz w:val="22"/>
                <w14:ligatures w14:val="standardContextual"/>
              </w:rPr>
              <w:t>年</w:t>
            </w:r>
          </w:p>
        </w:tc>
      </w:tr>
      <w:tr w:rsidR="00E3116F" w14:paraId="742F111C" w14:textId="77777777">
        <w:trPr>
          <w:trHeight w:val="97"/>
          <w:jc w:val="center"/>
        </w:trPr>
        <w:tc>
          <w:tcPr>
            <w:tcW w:w="3827" w:type="dxa"/>
            <w:vAlign w:val="center"/>
          </w:tcPr>
          <w:p w14:paraId="7D8E104B" w14:textId="77777777" w:rsidR="00E3116F" w:rsidRDefault="00821F7A">
            <w:pPr>
              <w:spacing w:line="276" w:lineRule="auto"/>
              <w:jc w:val="center"/>
              <w:rPr>
                <w:bCs/>
                <w:sz w:val="22"/>
                <w14:ligatures w14:val="standardContextual"/>
              </w:rPr>
            </w:pPr>
            <w:r>
              <w:rPr>
                <w:bCs/>
                <w:sz w:val="22"/>
              </w:rPr>
              <w:t>R</w:t>
            </w:r>
            <w:r>
              <w:rPr>
                <w:rFonts w:ascii="仿宋" w:eastAsia="仿宋" w:hAnsi="仿宋"/>
                <w:bCs/>
                <w:sz w:val="22"/>
              </w:rPr>
              <w:t>≤</w:t>
            </w:r>
            <w:r>
              <w:rPr>
                <w:bCs/>
                <w:sz w:val="22"/>
              </w:rPr>
              <w:t>R</w:t>
            </w:r>
            <w:r>
              <w:rPr>
                <w:rFonts w:ascii="Cambria" w:hAnsi="Cambria"/>
                <w:spacing w:val="-2"/>
                <w:sz w:val="22"/>
                <w:vertAlign w:val="subscript"/>
              </w:rPr>
              <w:t>b</w:t>
            </w:r>
            <w:r>
              <w:rPr>
                <w:bCs/>
                <w:sz w:val="22"/>
              </w:rPr>
              <w:t>-3%</w:t>
            </w:r>
          </w:p>
        </w:tc>
        <w:tc>
          <w:tcPr>
            <w:tcW w:w="2831" w:type="dxa"/>
            <w:vAlign w:val="center"/>
          </w:tcPr>
          <w:p w14:paraId="4E1419D0" w14:textId="77777777" w:rsidR="00E3116F" w:rsidRDefault="00821F7A">
            <w:pPr>
              <w:spacing w:line="276" w:lineRule="auto"/>
              <w:jc w:val="center"/>
              <w:rPr>
                <w:rFonts w:ascii="Cambria" w:eastAsia="仿宋" w:hAnsi="Cambria"/>
                <w:kern w:val="0"/>
                <w:sz w:val="22"/>
                <w14:ligatures w14:val="standardContextual"/>
              </w:rPr>
            </w:pPr>
            <w:r>
              <w:rPr>
                <w:rFonts w:ascii="Cambria" w:eastAsia="仿宋" w:hAnsi="Cambria"/>
                <w:kern w:val="0"/>
                <w:sz w:val="22"/>
                <w14:ligatures w14:val="standardContextual"/>
              </w:rPr>
              <w:t>0.60%/</w:t>
            </w:r>
            <w:r>
              <w:rPr>
                <w:rFonts w:ascii="宋体" w:hAnsi="宋体"/>
                <w:bCs/>
                <w:kern w:val="0"/>
                <w:sz w:val="22"/>
                <w14:ligatures w14:val="standardContextual"/>
              </w:rPr>
              <w:t>年</w:t>
            </w:r>
          </w:p>
        </w:tc>
      </w:tr>
      <w:tr w:rsidR="00E3116F" w14:paraId="65AD1E35" w14:textId="77777777">
        <w:trPr>
          <w:trHeight w:val="90"/>
          <w:jc w:val="center"/>
        </w:trPr>
        <w:tc>
          <w:tcPr>
            <w:tcW w:w="3827" w:type="dxa"/>
            <w:vAlign w:val="center"/>
          </w:tcPr>
          <w:p w14:paraId="4CB04320" w14:textId="77777777" w:rsidR="00E3116F" w:rsidRDefault="00821F7A">
            <w:pPr>
              <w:spacing w:line="276" w:lineRule="auto"/>
              <w:jc w:val="center"/>
              <w:rPr>
                <w:bCs/>
                <w:sz w:val="22"/>
                <w14:ligatures w14:val="standardContextual"/>
              </w:rPr>
            </w:pPr>
            <w:r>
              <w:rPr>
                <w:bCs/>
                <w:sz w:val="22"/>
                <w14:ligatures w14:val="standardContextual"/>
              </w:rPr>
              <w:lastRenderedPageBreak/>
              <w:t>其他情形</w:t>
            </w:r>
          </w:p>
        </w:tc>
        <w:tc>
          <w:tcPr>
            <w:tcW w:w="2831" w:type="dxa"/>
            <w:vAlign w:val="center"/>
          </w:tcPr>
          <w:p w14:paraId="210C0874" w14:textId="77777777" w:rsidR="00E3116F" w:rsidRDefault="00821F7A">
            <w:pPr>
              <w:spacing w:line="276" w:lineRule="auto"/>
              <w:jc w:val="center"/>
              <w:rPr>
                <w:rFonts w:ascii="Cambria" w:eastAsia="仿宋" w:hAnsi="Cambria"/>
                <w:kern w:val="0"/>
                <w:sz w:val="22"/>
                <w14:ligatures w14:val="standardContextual"/>
              </w:rPr>
            </w:pPr>
            <w:r>
              <w:rPr>
                <w:rFonts w:ascii="Cambria" w:eastAsia="仿宋" w:hAnsi="Cambria"/>
                <w:kern w:val="0"/>
                <w:sz w:val="22"/>
                <w14:ligatures w14:val="standardContextual"/>
              </w:rPr>
              <w:t>1.20%/</w:t>
            </w:r>
            <w:r>
              <w:rPr>
                <w:rFonts w:ascii="宋体" w:hAnsi="宋体"/>
                <w:bCs/>
                <w:kern w:val="0"/>
                <w:sz w:val="22"/>
                <w14:ligatures w14:val="standardContextual"/>
              </w:rPr>
              <w:t>年</w:t>
            </w:r>
          </w:p>
        </w:tc>
      </w:tr>
    </w:tbl>
    <w:p w14:paraId="3D6CCFD0" w14:textId="77777777" w:rsidR="00E3116F" w:rsidRDefault="00821F7A">
      <w:pPr>
        <w:spacing w:line="360" w:lineRule="auto"/>
        <w:rPr>
          <w:bCs/>
          <w:sz w:val="24"/>
          <w14:ligatures w14:val="standardContextual"/>
        </w:rPr>
      </w:pPr>
      <w:r>
        <w:rPr>
          <w:rFonts w:hint="eastAsia"/>
          <w:bCs/>
          <w:sz w:val="24"/>
          <w14:ligatures w14:val="standardContextual"/>
        </w:rPr>
        <w:t>注：①</w:t>
      </w:r>
      <w:r>
        <w:rPr>
          <w:bCs/>
          <w:sz w:val="24"/>
          <w14:ligatures w14:val="standardContextual"/>
        </w:rPr>
        <w:t>R</w:t>
      </w:r>
      <w:r>
        <w:rPr>
          <w:rFonts w:hint="eastAsia"/>
          <w:bCs/>
          <w:sz w:val="24"/>
          <w14:ligatures w14:val="standardContextual"/>
        </w:rPr>
        <w:t>为该笔份额的年化收益率，</w:t>
      </w:r>
      <w:r>
        <w:rPr>
          <w:bCs/>
          <w:sz w:val="24"/>
          <w14:ligatures w14:val="standardContextual"/>
        </w:rPr>
        <w:t>R</w:t>
      </w:r>
      <w:r>
        <w:rPr>
          <w:bCs/>
          <w:sz w:val="24"/>
          <w:vertAlign w:val="subscript"/>
          <w14:ligatures w14:val="standardContextual"/>
        </w:rPr>
        <w:t>b</w:t>
      </w:r>
      <w:r>
        <w:rPr>
          <w:rFonts w:hint="eastAsia"/>
          <w:bCs/>
          <w:sz w:val="24"/>
          <w14:ligatures w14:val="standardContextual"/>
        </w:rPr>
        <w:t>为本基金业绩比较基准同期年化收益率。</w:t>
      </w:r>
    </w:p>
    <w:p w14:paraId="126D425F" w14:textId="7A5068A0" w:rsidR="00E3116F" w:rsidRDefault="00821F7A">
      <w:pPr>
        <w:spacing w:line="360" w:lineRule="auto"/>
        <w:rPr>
          <w:bCs/>
          <w:sz w:val="24"/>
          <w14:ligatures w14:val="standardContextual"/>
        </w:rPr>
      </w:pPr>
      <w:r>
        <w:rPr>
          <w:rFonts w:hint="eastAsia"/>
          <w:bCs/>
          <w:sz w:val="24"/>
          <w14:ligatures w14:val="standardContextual"/>
        </w:rPr>
        <w:t>②特别的，当持有期限达到一年及以上，</w:t>
      </w:r>
      <w:r>
        <w:rPr>
          <w:bCs/>
          <w:sz w:val="24"/>
          <w14:ligatures w14:val="standardContextual"/>
        </w:rPr>
        <w:t>R</w:t>
      </w:r>
      <w:r>
        <w:rPr>
          <w:bCs/>
          <w:sz w:val="24"/>
          <w14:ligatures w14:val="standardContextual"/>
        </w:rPr>
        <w:t>＞</w:t>
      </w:r>
      <w:r>
        <w:rPr>
          <w:bCs/>
          <w:sz w:val="24"/>
          <w14:ligatures w14:val="standardContextual"/>
        </w:rPr>
        <w:t>R</w:t>
      </w:r>
      <w:r>
        <w:rPr>
          <w:bCs/>
          <w:sz w:val="24"/>
          <w:vertAlign w:val="subscript"/>
          <w14:ligatures w14:val="standardContextual"/>
        </w:rPr>
        <w:t>b</w:t>
      </w:r>
      <w:r>
        <w:rPr>
          <w:bCs/>
          <w:sz w:val="24"/>
          <w14:ligatures w14:val="standardContextual"/>
        </w:rPr>
        <w:t>+6%</w:t>
      </w:r>
      <w:r>
        <w:rPr>
          <w:rFonts w:hint="eastAsia"/>
          <w:bCs/>
          <w:sz w:val="24"/>
          <w14:ligatures w14:val="standardContextual"/>
        </w:rPr>
        <w:t>且</w:t>
      </w:r>
      <w:r>
        <w:rPr>
          <w:bCs/>
          <w:sz w:val="24"/>
          <w14:ligatures w14:val="standardContextual"/>
        </w:rPr>
        <w:t>R</w:t>
      </w:r>
      <w:r>
        <w:rPr>
          <w:bCs/>
          <w:sz w:val="24"/>
          <w14:ligatures w14:val="standardContextual"/>
        </w:rPr>
        <w:t>＞</w:t>
      </w:r>
      <w:r>
        <w:rPr>
          <w:bCs/>
          <w:sz w:val="24"/>
          <w14:ligatures w14:val="standardContextual"/>
        </w:rPr>
        <w:t>0</w:t>
      </w:r>
      <w:r>
        <w:rPr>
          <w:rFonts w:hint="eastAsia"/>
          <w:bCs/>
          <w:sz w:val="24"/>
          <w14:ligatures w14:val="standardContextual"/>
        </w:rPr>
        <w:t>的情形下，若拟扣除超额管理费后的年化收益率小于等于</w:t>
      </w:r>
      <w:r>
        <w:rPr>
          <w:bCs/>
          <w:sz w:val="24"/>
          <w14:ligatures w14:val="standardContextual"/>
        </w:rPr>
        <w:t>R</w:t>
      </w:r>
      <w:r>
        <w:rPr>
          <w:bCs/>
          <w:sz w:val="24"/>
          <w:vertAlign w:val="subscript"/>
          <w14:ligatures w14:val="standardContextual"/>
        </w:rPr>
        <w:t>b</w:t>
      </w:r>
      <w:r>
        <w:rPr>
          <w:bCs/>
          <w:sz w:val="24"/>
          <w14:ligatures w14:val="standardContextual"/>
        </w:rPr>
        <w:t>+6%</w:t>
      </w:r>
      <w:r>
        <w:rPr>
          <w:rFonts w:hint="eastAsia"/>
          <w:bCs/>
          <w:sz w:val="24"/>
          <w14:ligatures w14:val="standardContextual"/>
        </w:rPr>
        <w:t>，或小于等于</w:t>
      </w:r>
      <w:r>
        <w:rPr>
          <w:rFonts w:hint="eastAsia"/>
          <w:bCs/>
          <w:sz w:val="24"/>
          <w14:ligatures w14:val="standardContextual"/>
        </w:rPr>
        <w:t>0</w:t>
      </w:r>
      <w:r>
        <w:rPr>
          <w:rFonts w:hint="eastAsia"/>
          <w:bCs/>
          <w:sz w:val="24"/>
          <w14:ligatures w14:val="standardContextual"/>
        </w:rPr>
        <w:t>时，仍按</w:t>
      </w:r>
      <w:r>
        <w:rPr>
          <w:rFonts w:hint="eastAsia"/>
          <w:bCs/>
          <w:sz w:val="24"/>
          <w14:ligatures w14:val="standardContextual"/>
        </w:rPr>
        <w:t>1.20%</w:t>
      </w:r>
      <w:r>
        <w:rPr>
          <w:rFonts w:hint="eastAsia"/>
          <w:bCs/>
          <w:sz w:val="24"/>
          <w14:ligatures w14:val="standardContextual"/>
        </w:rPr>
        <w:t>年费率收取该笔基金份额的管理费，以</w:t>
      </w:r>
      <w:r w:rsidR="00FA115E">
        <w:rPr>
          <w:rFonts w:hint="eastAsia"/>
          <w:bCs/>
          <w:sz w:val="24"/>
          <w14:ligatures w14:val="standardContextual"/>
        </w:rPr>
        <w:t>使得</w:t>
      </w:r>
      <w:r>
        <w:rPr>
          <w:rFonts w:hint="eastAsia"/>
          <w:bCs/>
          <w:sz w:val="24"/>
          <w14:ligatures w14:val="standardContextual"/>
        </w:rPr>
        <w:t>该笔基金份额在扣除超额管理费后的年化收益率</w:t>
      </w:r>
      <w:r w:rsidR="00FA115E">
        <w:rPr>
          <w:rFonts w:hint="eastAsia"/>
          <w:bCs/>
          <w:sz w:val="24"/>
          <w14:ligatures w14:val="standardContextual"/>
        </w:rPr>
        <w:t>仍需</w:t>
      </w:r>
      <w:r>
        <w:rPr>
          <w:rFonts w:hint="eastAsia"/>
          <w:bCs/>
          <w:sz w:val="24"/>
          <w14:ligatures w14:val="standardContextual"/>
        </w:rPr>
        <w:t>满足本基金收取超额管理费的标准。</w:t>
      </w:r>
    </w:p>
    <w:p w14:paraId="1B470720" w14:textId="77777777" w:rsidR="00E3116F" w:rsidRDefault="00821F7A">
      <w:pPr>
        <w:adjustRightInd w:val="0"/>
        <w:snapToGrid w:val="0"/>
        <w:spacing w:line="360" w:lineRule="auto"/>
        <w:ind w:firstLineChars="200" w:firstLine="480"/>
        <w:rPr>
          <w:rFonts w:ascii="宋体" w:hAnsi="宋体"/>
          <w:bCs/>
          <w:sz w:val="24"/>
          <w:szCs w:val="24"/>
        </w:rPr>
      </w:pPr>
      <w:r>
        <w:rPr>
          <w:rFonts w:hint="eastAsia"/>
          <w:bCs/>
          <w:sz w:val="24"/>
          <w14:ligatures w14:val="standardContextual"/>
        </w:rPr>
        <w:t>具体而言，本基金的管理费包含固定管理费、或有管理费和超额管理费，按以下方式计算和确认。</w:t>
      </w:r>
    </w:p>
    <w:p w14:paraId="5D3A93E6" w14:textId="77777777" w:rsidR="00E3116F" w:rsidRDefault="00821F7A">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（1）固定管理费</w:t>
      </w:r>
    </w:p>
    <w:p w14:paraId="27D99A53" w14:textId="3E5B49E7" w:rsidR="00E3116F" w:rsidRDefault="00821F7A">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固定</w:t>
      </w:r>
      <w:r>
        <w:rPr>
          <w:rFonts w:ascii="宋体" w:hAnsi="宋体"/>
          <w:bCs/>
          <w:sz w:val="24"/>
          <w:szCs w:val="24"/>
        </w:rPr>
        <w:t>管理费按前一日基金资产净值的</w:t>
      </w:r>
      <w:r>
        <w:rPr>
          <w:rFonts w:ascii="宋体" w:hAnsi="宋体" w:hint="eastAsia"/>
          <w:bCs/>
          <w:sz w:val="24"/>
          <w:szCs w:val="24"/>
        </w:rPr>
        <w:t>0.60%</w:t>
      </w:r>
      <w:r>
        <w:rPr>
          <w:rFonts w:ascii="宋体" w:hAnsi="宋体"/>
          <w:bCs/>
          <w:sz w:val="24"/>
          <w:szCs w:val="24"/>
        </w:rPr>
        <w:t>年费率</w:t>
      </w:r>
      <w:r w:rsidR="00FA115E">
        <w:rPr>
          <w:rFonts w:ascii="宋体" w:hAnsi="宋体"/>
          <w:bCs/>
          <w:sz w:val="24"/>
          <w:szCs w:val="24"/>
        </w:rPr>
        <w:t>每日</w:t>
      </w:r>
      <w:r>
        <w:rPr>
          <w:rFonts w:ascii="宋体" w:hAnsi="宋体"/>
          <w:bCs/>
          <w:sz w:val="24"/>
          <w:szCs w:val="24"/>
        </w:rPr>
        <w:t>计提。</w:t>
      </w:r>
      <w:r>
        <w:rPr>
          <w:rFonts w:ascii="宋体" w:hAnsi="宋体" w:hint="eastAsia"/>
          <w:bCs/>
          <w:sz w:val="24"/>
          <w:szCs w:val="24"/>
        </w:rPr>
        <w:t>固定</w:t>
      </w:r>
      <w:r>
        <w:rPr>
          <w:rFonts w:ascii="宋体" w:hAnsi="宋体"/>
          <w:bCs/>
          <w:sz w:val="24"/>
          <w:szCs w:val="24"/>
        </w:rPr>
        <w:t>管理费的计算方法如下：</w:t>
      </w:r>
    </w:p>
    <w:p w14:paraId="62021973" w14:textId="77777777" w:rsidR="00E3116F" w:rsidRDefault="00821F7A">
      <w:pPr>
        <w:adjustRightInd w:val="0"/>
        <w:snapToGrid w:val="0"/>
        <w:spacing w:line="360" w:lineRule="auto"/>
        <w:ind w:firstLineChars="200" w:firstLine="480"/>
        <w:rPr>
          <w:rFonts w:ascii="宋体" w:hAnsi="宋体"/>
          <w:bCs/>
          <w:sz w:val="24"/>
          <w:szCs w:val="24"/>
        </w:rPr>
      </w:pPr>
      <w:r>
        <w:rPr>
          <w:rFonts w:ascii="宋体" w:hAnsi="宋体"/>
          <w:bCs/>
          <w:sz w:val="24"/>
          <w:szCs w:val="24"/>
        </w:rPr>
        <w:t>H</w:t>
      </w:r>
      <w:r>
        <w:rPr>
          <w:rFonts w:ascii="宋体" w:hAnsi="宋体" w:hint="eastAsia"/>
          <w:bCs/>
          <w:sz w:val="24"/>
          <w:szCs w:val="24"/>
          <w:vertAlign w:val="subscript"/>
        </w:rPr>
        <w:t>1</w:t>
      </w:r>
      <w:r>
        <w:rPr>
          <w:rFonts w:ascii="宋体" w:hAnsi="宋体"/>
          <w:bCs/>
          <w:sz w:val="24"/>
          <w:szCs w:val="24"/>
        </w:rPr>
        <w:t>＝E×</w:t>
      </w:r>
      <w:r>
        <w:rPr>
          <w:rFonts w:ascii="宋体" w:hAnsi="宋体" w:hint="eastAsia"/>
          <w:bCs/>
          <w:sz w:val="24"/>
          <w:szCs w:val="24"/>
        </w:rPr>
        <w:t>0.60%</w:t>
      </w:r>
      <w:r>
        <w:rPr>
          <w:rFonts w:ascii="宋体" w:hAnsi="宋体"/>
          <w:bCs/>
          <w:sz w:val="24"/>
          <w:szCs w:val="24"/>
        </w:rPr>
        <w:t>÷当年天数</w:t>
      </w:r>
    </w:p>
    <w:p w14:paraId="05972C92" w14:textId="77777777" w:rsidR="00E3116F" w:rsidRDefault="00821F7A">
      <w:pPr>
        <w:adjustRightInd w:val="0"/>
        <w:snapToGrid w:val="0"/>
        <w:spacing w:line="360" w:lineRule="auto"/>
        <w:ind w:firstLineChars="200" w:firstLine="480"/>
        <w:rPr>
          <w:rFonts w:ascii="宋体" w:hAnsi="宋体"/>
          <w:bCs/>
          <w:sz w:val="24"/>
          <w:szCs w:val="24"/>
        </w:rPr>
      </w:pPr>
      <w:r>
        <w:rPr>
          <w:rFonts w:ascii="宋体" w:hAnsi="宋体"/>
          <w:bCs/>
          <w:sz w:val="24"/>
          <w:szCs w:val="24"/>
        </w:rPr>
        <w:t>H</w:t>
      </w:r>
      <w:r>
        <w:rPr>
          <w:rFonts w:ascii="宋体" w:hAnsi="宋体" w:hint="eastAsia"/>
          <w:bCs/>
          <w:sz w:val="24"/>
          <w:szCs w:val="24"/>
          <w:vertAlign w:val="subscript"/>
        </w:rPr>
        <w:t>1</w:t>
      </w:r>
      <w:r>
        <w:rPr>
          <w:rFonts w:ascii="宋体" w:hAnsi="宋体"/>
          <w:bCs/>
          <w:sz w:val="24"/>
          <w:szCs w:val="24"/>
        </w:rPr>
        <w:t>为每日应计提的</w:t>
      </w:r>
      <w:r>
        <w:rPr>
          <w:rFonts w:ascii="宋体" w:hAnsi="宋体" w:hint="eastAsia"/>
          <w:bCs/>
          <w:sz w:val="24"/>
          <w:szCs w:val="24"/>
        </w:rPr>
        <w:t>固定</w:t>
      </w:r>
      <w:r>
        <w:rPr>
          <w:rFonts w:ascii="宋体" w:hAnsi="宋体"/>
          <w:bCs/>
          <w:sz w:val="24"/>
          <w:szCs w:val="24"/>
        </w:rPr>
        <w:t>管理费</w:t>
      </w:r>
    </w:p>
    <w:p w14:paraId="13957DB6" w14:textId="77777777" w:rsidR="00E3116F" w:rsidRDefault="00821F7A">
      <w:pPr>
        <w:adjustRightInd w:val="0"/>
        <w:snapToGrid w:val="0"/>
        <w:spacing w:line="360" w:lineRule="auto"/>
        <w:ind w:firstLineChars="200" w:firstLine="480"/>
        <w:rPr>
          <w:rFonts w:ascii="宋体" w:hAnsi="宋体"/>
          <w:bCs/>
          <w:sz w:val="24"/>
          <w:szCs w:val="24"/>
        </w:rPr>
      </w:pPr>
      <w:r>
        <w:rPr>
          <w:rFonts w:ascii="宋体" w:hAnsi="宋体"/>
          <w:bCs/>
          <w:sz w:val="24"/>
          <w:szCs w:val="24"/>
        </w:rPr>
        <w:t>E为前一日的基金资产净值</w:t>
      </w:r>
    </w:p>
    <w:p w14:paraId="1D843CC9" w14:textId="660AA6DA" w:rsidR="00E3116F" w:rsidRDefault="00821F7A">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（2）或有管理费和超额管理费</w:t>
      </w:r>
    </w:p>
    <w:p w14:paraId="2DE909F2" w14:textId="4D12CCD9" w:rsidR="00E3116F" w:rsidRDefault="00821F7A">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或有</w:t>
      </w:r>
      <w:r>
        <w:rPr>
          <w:rFonts w:ascii="宋体" w:hAnsi="宋体"/>
          <w:bCs/>
          <w:sz w:val="24"/>
          <w:szCs w:val="24"/>
        </w:rPr>
        <w:t>管理费按前一日基金资产净值的</w:t>
      </w:r>
      <w:r>
        <w:rPr>
          <w:rFonts w:ascii="宋体" w:hAnsi="宋体" w:hint="eastAsia"/>
          <w:bCs/>
          <w:sz w:val="24"/>
          <w:szCs w:val="24"/>
        </w:rPr>
        <w:t>0.60%</w:t>
      </w:r>
      <w:r>
        <w:rPr>
          <w:rFonts w:ascii="宋体" w:hAnsi="宋体"/>
          <w:bCs/>
          <w:sz w:val="24"/>
          <w:szCs w:val="24"/>
        </w:rPr>
        <w:t>年费率</w:t>
      </w:r>
      <w:r w:rsidR="00FA115E">
        <w:rPr>
          <w:rFonts w:ascii="宋体" w:hAnsi="宋体"/>
          <w:bCs/>
          <w:sz w:val="24"/>
          <w:szCs w:val="24"/>
        </w:rPr>
        <w:t>每日</w:t>
      </w:r>
      <w:r>
        <w:rPr>
          <w:rFonts w:ascii="宋体" w:hAnsi="宋体"/>
          <w:bCs/>
          <w:sz w:val="24"/>
          <w:szCs w:val="24"/>
        </w:rPr>
        <w:t>计提。</w:t>
      </w:r>
      <w:r>
        <w:rPr>
          <w:rFonts w:ascii="宋体" w:hAnsi="宋体" w:hint="eastAsia"/>
          <w:bCs/>
          <w:sz w:val="24"/>
          <w:szCs w:val="24"/>
        </w:rPr>
        <w:t>或有</w:t>
      </w:r>
      <w:r>
        <w:rPr>
          <w:rFonts w:ascii="宋体" w:hAnsi="宋体"/>
          <w:bCs/>
          <w:sz w:val="24"/>
          <w:szCs w:val="24"/>
        </w:rPr>
        <w:t>管理费的计算方法如下：</w:t>
      </w:r>
    </w:p>
    <w:p w14:paraId="76342347" w14:textId="77777777" w:rsidR="00E3116F" w:rsidRDefault="00821F7A">
      <w:pPr>
        <w:adjustRightInd w:val="0"/>
        <w:snapToGrid w:val="0"/>
        <w:spacing w:line="360" w:lineRule="auto"/>
        <w:ind w:firstLineChars="200" w:firstLine="480"/>
        <w:rPr>
          <w:rFonts w:ascii="宋体" w:hAnsi="宋体"/>
          <w:bCs/>
          <w:sz w:val="24"/>
          <w:szCs w:val="24"/>
        </w:rPr>
      </w:pPr>
      <w:r>
        <w:rPr>
          <w:rFonts w:ascii="宋体" w:hAnsi="宋体"/>
          <w:bCs/>
          <w:sz w:val="24"/>
          <w:szCs w:val="24"/>
        </w:rPr>
        <w:t>H</w:t>
      </w:r>
      <w:r>
        <w:rPr>
          <w:rFonts w:ascii="宋体" w:hAnsi="宋体" w:hint="eastAsia"/>
          <w:bCs/>
          <w:sz w:val="24"/>
          <w:szCs w:val="24"/>
          <w:vertAlign w:val="subscript"/>
        </w:rPr>
        <w:t>2</w:t>
      </w:r>
      <w:r>
        <w:rPr>
          <w:rFonts w:ascii="宋体" w:hAnsi="宋体"/>
          <w:bCs/>
          <w:sz w:val="24"/>
          <w:szCs w:val="24"/>
        </w:rPr>
        <w:t>＝E×</w:t>
      </w:r>
      <w:r>
        <w:rPr>
          <w:rFonts w:ascii="宋体" w:hAnsi="宋体" w:hint="eastAsia"/>
          <w:bCs/>
          <w:sz w:val="24"/>
          <w:szCs w:val="24"/>
        </w:rPr>
        <w:t>0.60%</w:t>
      </w:r>
      <w:r>
        <w:rPr>
          <w:rFonts w:ascii="宋体" w:hAnsi="宋体"/>
          <w:bCs/>
          <w:sz w:val="24"/>
          <w:szCs w:val="24"/>
        </w:rPr>
        <w:t>÷当年天数</w:t>
      </w:r>
    </w:p>
    <w:p w14:paraId="2DD2CFA2" w14:textId="77777777" w:rsidR="00E3116F" w:rsidRDefault="00821F7A">
      <w:pPr>
        <w:adjustRightInd w:val="0"/>
        <w:snapToGrid w:val="0"/>
        <w:spacing w:line="360" w:lineRule="auto"/>
        <w:ind w:firstLineChars="200" w:firstLine="480"/>
        <w:rPr>
          <w:rFonts w:ascii="宋体" w:hAnsi="宋体"/>
          <w:bCs/>
          <w:sz w:val="24"/>
          <w:szCs w:val="24"/>
        </w:rPr>
      </w:pPr>
      <w:r>
        <w:rPr>
          <w:rFonts w:ascii="宋体" w:hAnsi="宋体"/>
          <w:bCs/>
          <w:sz w:val="24"/>
          <w:szCs w:val="24"/>
        </w:rPr>
        <w:t>H</w:t>
      </w:r>
      <w:r>
        <w:rPr>
          <w:rFonts w:ascii="宋体" w:hAnsi="宋体" w:hint="eastAsia"/>
          <w:bCs/>
          <w:sz w:val="24"/>
          <w:szCs w:val="24"/>
          <w:vertAlign w:val="subscript"/>
        </w:rPr>
        <w:t>2</w:t>
      </w:r>
      <w:r>
        <w:rPr>
          <w:rFonts w:ascii="宋体" w:hAnsi="宋体"/>
          <w:bCs/>
          <w:sz w:val="24"/>
          <w:szCs w:val="24"/>
        </w:rPr>
        <w:t>为每日应计提的</w:t>
      </w:r>
      <w:r>
        <w:rPr>
          <w:rFonts w:ascii="宋体" w:hAnsi="宋体" w:hint="eastAsia"/>
          <w:bCs/>
          <w:sz w:val="24"/>
          <w:szCs w:val="24"/>
        </w:rPr>
        <w:t>或有</w:t>
      </w:r>
      <w:r>
        <w:rPr>
          <w:rFonts w:ascii="宋体" w:hAnsi="宋体"/>
          <w:bCs/>
          <w:sz w:val="24"/>
          <w:szCs w:val="24"/>
        </w:rPr>
        <w:t>管理费</w:t>
      </w:r>
    </w:p>
    <w:p w14:paraId="414E31B5" w14:textId="77777777" w:rsidR="00E3116F" w:rsidRDefault="00821F7A">
      <w:pPr>
        <w:adjustRightInd w:val="0"/>
        <w:snapToGrid w:val="0"/>
        <w:spacing w:line="360" w:lineRule="auto"/>
        <w:ind w:firstLineChars="200" w:firstLine="480"/>
        <w:rPr>
          <w:bCs/>
          <w:sz w:val="24"/>
        </w:rPr>
      </w:pPr>
      <w:r>
        <w:rPr>
          <w:rFonts w:ascii="宋体" w:hAnsi="宋体"/>
          <w:bCs/>
          <w:sz w:val="24"/>
          <w:szCs w:val="24"/>
        </w:rPr>
        <w:t>E为前一日的基金资产净值</w:t>
      </w:r>
    </w:p>
    <w:p w14:paraId="0F3AC73B" w14:textId="77777777" w:rsidR="00E3116F" w:rsidRDefault="00821F7A">
      <w:pPr>
        <w:spacing w:line="360" w:lineRule="auto"/>
        <w:ind w:firstLineChars="200" w:firstLine="480"/>
        <w:rPr>
          <w:bCs/>
          <w:sz w:val="24"/>
          <w14:ligatures w14:val="standardContextual"/>
        </w:rPr>
      </w:pPr>
      <w:r>
        <w:rPr>
          <w:rFonts w:hint="eastAsia"/>
          <w:bCs/>
          <w:sz w:val="24"/>
          <w14:ligatures w14:val="standardContextual"/>
        </w:rPr>
        <w:t>若该笔基金份额持有天数达到或超过</w:t>
      </w:r>
      <w:r>
        <w:rPr>
          <w:rFonts w:hint="eastAsia"/>
          <w:bCs/>
          <w:sz w:val="24"/>
          <w14:ligatures w14:val="standardContextual"/>
        </w:rPr>
        <w:t>365</w:t>
      </w:r>
      <w:r>
        <w:rPr>
          <w:rFonts w:hint="eastAsia"/>
          <w:bCs/>
          <w:sz w:val="24"/>
          <w14:ligatures w14:val="standardContextual"/>
        </w:rPr>
        <w:t>天，且该笔基金份额的持有收益率</w:t>
      </w:r>
      <w:r>
        <w:rPr>
          <w:rFonts w:hint="eastAsia"/>
          <w:bCs/>
          <w:sz w:val="24"/>
          <w14:ligatures w14:val="standardContextual"/>
        </w:rPr>
        <w:t>R</w:t>
      </w:r>
      <w:r>
        <w:rPr>
          <w:rFonts w:hint="eastAsia"/>
          <w:bCs/>
          <w:sz w:val="24"/>
          <w14:ligatures w14:val="standardContextual"/>
        </w:rPr>
        <w:t>符合下表“情形一”的收取情形时，或有管理费为</w:t>
      </w:r>
      <w:r>
        <w:rPr>
          <w:rFonts w:hint="eastAsia"/>
          <w:bCs/>
          <w:sz w:val="24"/>
          <w14:ligatures w14:val="standardContextual"/>
        </w:rPr>
        <w:t>0</w:t>
      </w:r>
      <w:r>
        <w:rPr>
          <w:rFonts w:hint="eastAsia"/>
          <w:bCs/>
          <w:sz w:val="24"/>
          <w14:ligatures w14:val="standardContextual"/>
        </w:rPr>
        <w:t>，则该笔基金份额持有期内计提的或有管理费将全额返还至投资者的赎回款（或清算款）；在其他情形下，该笔基金份额持有期内计提的或有管理费应确认为应由管理人收取的管理费。</w:t>
      </w:r>
    </w:p>
    <w:p w14:paraId="687E6BE2" w14:textId="77777777" w:rsidR="00E3116F" w:rsidRDefault="00821F7A">
      <w:pPr>
        <w:spacing w:line="360" w:lineRule="auto"/>
        <w:ind w:firstLineChars="200" w:firstLine="480"/>
        <w:rPr>
          <w:bCs/>
          <w:sz w:val="24"/>
          <w14:ligatures w14:val="standardContextual"/>
        </w:rPr>
      </w:pPr>
      <w:r>
        <w:rPr>
          <w:rFonts w:hint="eastAsia"/>
          <w:bCs/>
          <w:sz w:val="24"/>
          <w14:ligatures w14:val="standardContextual"/>
        </w:rPr>
        <w:t>本基金每日预估计算并记录每笔基金份额的超额管理费，基金超额管理费的预估计算方法如下：</w:t>
      </w:r>
    </w:p>
    <w:p w14:paraId="54FDA63A" w14:textId="77777777" w:rsidR="00E3116F" w:rsidRDefault="00821F7A">
      <w:pPr>
        <w:spacing w:line="360" w:lineRule="auto"/>
        <w:ind w:firstLineChars="200" w:firstLine="480"/>
        <w:rPr>
          <w:bCs/>
          <w:sz w:val="24"/>
          <w14:ligatures w14:val="standardContextual"/>
        </w:rPr>
      </w:pPr>
      <w:r>
        <w:rPr>
          <w:rFonts w:hint="eastAsia"/>
          <w:bCs/>
          <w:sz w:val="24"/>
          <w14:ligatures w14:val="standardContextual"/>
        </w:rPr>
        <w:t>H</w:t>
      </w:r>
      <w:r>
        <w:rPr>
          <w:rFonts w:hint="eastAsia"/>
          <w:bCs/>
          <w:sz w:val="24"/>
          <w:vertAlign w:val="subscript"/>
          <w14:ligatures w14:val="standardContextual"/>
        </w:rPr>
        <w:t>3</w:t>
      </w:r>
      <w:r>
        <w:rPr>
          <w:rFonts w:hint="eastAsia"/>
          <w:bCs/>
          <w:sz w:val="24"/>
          <w14:ligatures w14:val="standardContextual"/>
        </w:rPr>
        <w:t>＝</w:t>
      </w:r>
      <w:r>
        <w:rPr>
          <w:rFonts w:hint="eastAsia"/>
          <w:bCs/>
          <w:sz w:val="24"/>
          <w14:ligatures w14:val="standardContextual"/>
        </w:rPr>
        <w:t>E</w:t>
      </w:r>
      <w:r>
        <w:rPr>
          <w:rFonts w:hint="eastAsia"/>
          <w:bCs/>
          <w:sz w:val="24"/>
          <w14:ligatures w14:val="standardContextual"/>
        </w:rPr>
        <w:t>×</w:t>
      </w:r>
      <w:r>
        <w:rPr>
          <w:rFonts w:hint="eastAsia"/>
          <w:bCs/>
          <w:sz w:val="24"/>
          <w14:ligatures w14:val="standardContextual"/>
        </w:rPr>
        <w:t>0.30%</w:t>
      </w:r>
      <w:r>
        <w:rPr>
          <w:rFonts w:hint="eastAsia"/>
          <w:bCs/>
          <w:sz w:val="24"/>
          <w14:ligatures w14:val="standardContextual"/>
        </w:rPr>
        <w:t>÷当年天数</w:t>
      </w:r>
    </w:p>
    <w:p w14:paraId="21DED2D8" w14:textId="77777777" w:rsidR="00E3116F" w:rsidRDefault="00821F7A">
      <w:pPr>
        <w:spacing w:line="360" w:lineRule="auto"/>
        <w:ind w:firstLineChars="200" w:firstLine="480"/>
        <w:rPr>
          <w:bCs/>
          <w:sz w:val="24"/>
          <w14:ligatures w14:val="standardContextual"/>
        </w:rPr>
      </w:pPr>
      <w:r>
        <w:rPr>
          <w:rFonts w:hint="eastAsia"/>
          <w:bCs/>
          <w:sz w:val="24"/>
          <w14:ligatures w14:val="standardContextual"/>
        </w:rPr>
        <w:t>H</w:t>
      </w:r>
      <w:r>
        <w:rPr>
          <w:rFonts w:hint="eastAsia"/>
          <w:bCs/>
          <w:sz w:val="24"/>
          <w:vertAlign w:val="subscript"/>
          <w14:ligatures w14:val="standardContextual"/>
        </w:rPr>
        <w:t>3</w:t>
      </w:r>
      <w:r>
        <w:rPr>
          <w:rFonts w:hint="eastAsia"/>
          <w:bCs/>
          <w:sz w:val="24"/>
          <w14:ligatures w14:val="standardContextual"/>
        </w:rPr>
        <w:t>为每日预估计算的基金超额管理费</w:t>
      </w:r>
    </w:p>
    <w:p w14:paraId="7C4B5ECA" w14:textId="77777777" w:rsidR="00E3116F" w:rsidRDefault="00821F7A">
      <w:pPr>
        <w:spacing w:line="360" w:lineRule="auto"/>
        <w:ind w:firstLineChars="200" w:firstLine="480"/>
        <w:rPr>
          <w:bCs/>
          <w:sz w:val="24"/>
          <w14:ligatures w14:val="standardContextual"/>
        </w:rPr>
      </w:pPr>
      <w:r>
        <w:rPr>
          <w:rFonts w:hint="eastAsia"/>
          <w:bCs/>
          <w:sz w:val="24"/>
          <w14:ligatures w14:val="standardContextual"/>
        </w:rPr>
        <w:t>E</w:t>
      </w:r>
      <w:r>
        <w:rPr>
          <w:rFonts w:hint="eastAsia"/>
          <w:bCs/>
          <w:sz w:val="24"/>
          <w14:ligatures w14:val="standardContextual"/>
        </w:rPr>
        <w:t>为前一日的基金资产净值</w:t>
      </w:r>
    </w:p>
    <w:p w14:paraId="1F475955" w14:textId="77777777" w:rsidR="00E3116F" w:rsidRDefault="00821F7A">
      <w:pPr>
        <w:adjustRightInd w:val="0"/>
        <w:snapToGrid w:val="0"/>
        <w:spacing w:line="360" w:lineRule="auto"/>
        <w:ind w:left="60" w:firstLine="420"/>
        <w:rPr>
          <w:bCs/>
          <w:sz w:val="24"/>
          <w14:ligatures w14:val="standardContextual"/>
        </w:rPr>
      </w:pPr>
      <w:r>
        <w:rPr>
          <w:rFonts w:hint="eastAsia"/>
          <w:bCs/>
          <w:sz w:val="24"/>
          <w14:ligatures w14:val="standardContextual"/>
        </w:rPr>
        <w:t>每笔基金份额的超额管理费每日预估计算，但不从基金资产中实际计提，逐日</w:t>
      </w:r>
      <w:r>
        <w:rPr>
          <w:rFonts w:hint="eastAsia"/>
          <w:bCs/>
          <w:sz w:val="24"/>
          <w14:ligatures w14:val="standardContextual"/>
        </w:rPr>
        <w:lastRenderedPageBreak/>
        <w:t>累计。当且仅当该笔基金份额持有天数达到或超过</w:t>
      </w:r>
      <w:r>
        <w:rPr>
          <w:rFonts w:hint="eastAsia"/>
          <w:bCs/>
          <w:sz w:val="24"/>
          <w14:ligatures w14:val="standardContextual"/>
        </w:rPr>
        <w:t>365</w:t>
      </w:r>
      <w:r>
        <w:rPr>
          <w:rFonts w:hint="eastAsia"/>
          <w:bCs/>
          <w:sz w:val="24"/>
          <w14:ligatures w14:val="standardContextual"/>
        </w:rPr>
        <w:t>天，且该笔基金份额的年化收益率（</w:t>
      </w:r>
      <w:r>
        <w:rPr>
          <w:rFonts w:hint="eastAsia"/>
          <w:bCs/>
          <w:sz w:val="24"/>
          <w14:ligatures w14:val="standardContextual"/>
        </w:rPr>
        <w:t>R</w:t>
      </w:r>
      <w:r>
        <w:rPr>
          <w:rFonts w:hint="eastAsia"/>
          <w:bCs/>
          <w:sz w:val="24"/>
          <w14:ligatures w14:val="standardContextual"/>
        </w:rPr>
        <w:t>）符合下表“情形三”的收取情形时，将从该笔基金份额的赎回款（或清算款）中扣除</w:t>
      </w:r>
      <w:r>
        <w:rPr>
          <w:rFonts w:hint="eastAsia"/>
          <w:bCs/>
          <w:sz w:val="24"/>
          <w14:ligatures w14:val="standardContextual"/>
        </w:rPr>
        <w:t>0.30%</w:t>
      </w:r>
      <w:r>
        <w:rPr>
          <w:rFonts w:hint="eastAsia"/>
          <w:bCs/>
          <w:sz w:val="24"/>
          <w14:ligatures w14:val="standardContextual"/>
        </w:rPr>
        <w:t>年费率的超额管理费，并随已计提的或有管理费一同确认为应由管理人收取的管理费。</w:t>
      </w:r>
    </w:p>
    <w:p w14:paraId="64962461" w14:textId="77777777" w:rsidR="00E3116F" w:rsidRDefault="00821F7A">
      <w:pPr>
        <w:spacing w:line="360" w:lineRule="auto"/>
        <w:ind w:firstLineChars="200" w:firstLine="480"/>
        <w:rPr>
          <w:bCs/>
          <w:sz w:val="24"/>
          <w14:ligatures w14:val="standardContextual"/>
        </w:rPr>
      </w:pPr>
      <w:r>
        <w:rPr>
          <w:rFonts w:hint="eastAsia"/>
          <w:bCs/>
          <w:sz w:val="24"/>
          <w14:ligatures w14:val="standardContextual"/>
        </w:rPr>
        <w:t>当投资者赎回、转出基金份额或基金合同终止的情形发生时，本基金根据以下三种情形确认应实际收取的或有管理费和超额管理费：</w:t>
      </w:r>
    </w:p>
    <w:tbl>
      <w:tblPr>
        <w:tblStyle w:val="13"/>
        <w:tblW w:w="7582" w:type="dxa"/>
        <w:jc w:val="center"/>
        <w:tblLook w:val="04A0" w:firstRow="1" w:lastRow="0" w:firstColumn="1" w:lastColumn="0" w:noHBand="0" w:noVBand="1"/>
      </w:tblPr>
      <w:tblGrid>
        <w:gridCol w:w="1247"/>
        <w:gridCol w:w="2933"/>
        <w:gridCol w:w="1701"/>
        <w:gridCol w:w="1701"/>
      </w:tblGrid>
      <w:tr w:rsidR="00E3116F" w14:paraId="5B649855" w14:textId="77777777">
        <w:trPr>
          <w:trHeight w:val="510"/>
          <w:jc w:val="center"/>
        </w:trPr>
        <w:tc>
          <w:tcPr>
            <w:tcW w:w="1247" w:type="dxa"/>
            <w:vAlign w:val="center"/>
          </w:tcPr>
          <w:p w14:paraId="7C4FDF25" w14:textId="77777777" w:rsidR="00E3116F" w:rsidRDefault="00821F7A">
            <w:pPr>
              <w:jc w:val="center"/>
              <w:rPr>
                <w:rFonts w:ascii="宋体" w:hAnsi="宋体"/>
                <w:b/>
                <w:bCs/>
                <w:kern w:val="0"/>
                <w:sz w:val="22"/>
              </w:rPr>
            </w:pPr>
            <w:bookmarkStart w:id="106" w:name="_Hlk195865040"/>
            <w:r>
              <w:rPr>
                <w:rFonts w:ascii="宋体" w:hAnsi="宋体" w:hint="eastAsia"/>
                <w:b/>
                <w:bCs/>
                <w:kern w:val="0"/>
                <w:sz w:val="22"/>
              </w:rPr>
              <w:t>收取情形</w:t>
            </w:r>
          </w:p>
        </w:tc>
        <w:tc>
          <w:tcPr>
            <w:tcW w:w="2933" w:type="dxa"/>
            <w:vAlign w:val="center"/>
          </w:tcPr>
          <w:p w14:paraId="1F3095B0" w14:textId="77777777" w:rsidR="00E3116F" w:rsidRDefault="00821F7A">
            <w:pPr>
              <w:jc w:val="center"/>
              <w:rPr>
                <w:rFonts w:ascii="宋体" w:hAnsi="宋体"/>
                <w:b/>
                <w:bCs/>
                <w:kern w:val="0"/>
                <w:sz w:val="22"/>
              </w:rPr>
            </w:pPr>
            <w:r>
              <w:rPr>
                <w:rFonts w:ascii="宋体" w:hAnsi="宋体" w:hint="eastAsia"/>
                <w:b/>
                <w:bCs/>
                <w:kern w:val="0"/>
                <w:sz w:val="22"/>
              </w:rPr>
              <w:t>年化收益率（</w:t>
            </w:r>
            <w:r>
              <w:rPr>
                <w:rFonts w:ascii="宋体" w:hAnsi="宋体"/>
                <w:b/>
                <w:bCs/>
                <w:kern w:val="0"/>
                <w:sz w:val="22"/>
              </w:rPr>
              <w:t>R</w:t>
            </w:r>
            <w:r>
              <w:rPr>
                <w:rFonts w:ascii="宋体" w:hAnsi="宋体" w:hint="eastAsia"/>
                <w:b/>
                <w:bCs/>
                <w:kern w:val="0"/>
                <w:sz w:val="22"/>
              </w:rPr>
              <w:t>）</w:t>
            </w:r>
          </w:p>
        </w:tc>
        <w:tc>
          <w:tcPr>
            <w:tcW w:w="1701" w:type="dxa"/>
            <w:vAlign w:val="center"/>
          </w:tcPr>
          <w:p w14:paraId="25EB5589" w14:textId="77777777" w:rsidR="00E3116F" w:rsidRDefault="00821F7A">
            <w:pPr>
              <w:jc w:val="center"/>
              <w:rPr>
                <w:rFonts w:ascii="宋体" w:hAnsi="宋体"/>
                <w:b/>
                <w:bCs/>
                <w:kern w:val="0"/>
                <w:sz w:val="22"/>
              </w:rPr>
            </w:pPr>
            <w:r>
              <w:rPr>
                <w:rFonts w:ascii="宋体" w:hAnsi="宋体" w:hint="eastAsia"/>
                <w:b/>
                <w:bCs/>
                <w:kern w:val="0"/>
                <w:sz w:val="22"/>
              </w:rPr>
              <w:t>或有管理费</w:t>
            </w:r>
          </w:p>
          <w:p w14:paraId="503D1F04" w14:textId="77777777" w:rsidR="00E3116F" w:rsidRDefault="00821F7A">
            <w:pPr>
              <w:jc w:val="center"/>
              <w:rPr>
                <w:rFonts w:ascii="宋体" w:hAnsi="宋体"/>
                <w:b/>
                <w:bCs/>
                <w:kern w:val="0"/>
                <w:sz w:val="22"/>
              </w:rPr>
            </w:pPr>
            <w:r>
              <w:rPr>
                <w:rFonts w:ascii="宋体" w:hAnsi="宋体" w:hint="eastAsia"/>
                <w:b/>
                <w:bCs/>
                <w:kern w:val="0"/>
                <w:sz w:val="22"/>
              </w:rPr>
              <w:t>（年费率）</w:t>
            </w:r>
          </w:p>
        </w:tc>
        <w:tc>
          <w:tcPr>
            <w:tcW w:w="1701" w:type="dxa"/>
            <w:vAlign w:val="center"/>
          </w:tcPr>
          <w:p w14:paraId="53DBC9C6" w14:textId="77777777" w:rsidR="00E3116F" w:rsidRDefault="00821F7A">
            <w:pPr>
              <w:jc w:val="center"/>
              <w:rPr>
                <w:rFonts w:ascii="宋体" w:hAnsi="宋体"/>
                <w:b/>
                <w:bCs/>
                <w:kern w:val="0"/>
                <w:sz w:val="22"/>
              </w:rPr>
            </w:pPr>
            <w:r>
              <w:rPr>
                <w:rFonts w:ascii="宋体" w:hAnsi="宋体" w:hint="eastAsia"/>
                <w:b/>
                <w:bCs/>
                <w:kern w:val="0"/>
                <w:sz w:val="22"/>
              </w:rPr>
              <w:t>超额管理费</w:t>
            </w:r>
          </w:p>
          <w:p w14:paraId="31D88B4B" w14:textId="77777777" w:rsidR="00E3116F" w:rsidRDefault="00821F7A">
            <w:pPr>
              <w:jc w:val="center"/>
              <w:rPr>
                <w:rFonts w:ascii="宋体" w:hAnsi="宋体"/>
                <w:b/>
                <w:bCs/>
                <w:kern w:val="0"/>
                <w:sz w:val="22"/>
              </w:rPr>
            </w:pPr>
            <w:r>
              <w:rPr>
                <w:rFonts w:ascii="宋体" w:hAnsi="宋体" w:hint="eastAsia"/>
                <w:b/>
                <w:bCs/>
                <w:kern w:val="0"/>
                <w:sz w:val="22"/>
              </w:rPr>
              <w:t>（年费率）</w:t>
            </w:r>
          </w:p>
        </w:tc>
      </w:tr>
      <w:tr w:rsidR="00E3116F" w14:paraId="6CA2E690" w14:textId="77777777">
        <w:trPr>
          <w:trHeight w:val="510"/>
          <w:jc w:val="center"/>
        </w:trPr>
        <w:tc>
          <w:tcPr>
            <w:tcW w:w="1247" w:type="dxa"/>
            <w:vAlign w:val="center"/>
          </w:tcPr>
          <w:p w14:paraId="3D34D7C9" w14:textId="77777777" w:rsidR="00E3116F" w:rsidRDefault="00821F7A">
            <w:pPr>
              <w:jc w:val="center"/>
              <w:rPr>
                <w:rFonts w:ascii="宋体" w:hAnsi="宋体"/>
                <w:kern w:val="0"/>
                <w:sz w:val="22"/>
              </w:rPr>
            </w:pPr>
            <w:r>
              <w:rPr>
                <w:rFonts w:ascii="宋体" w:hAnsi="宋体" w:hint="eastAsia"/>
                <w:bCs/>
                <w:kern w:val="0"/>
                <w:sz w:val="22"/>
              </w:rPr>
              <w:t>情形</w:t>
            </w:r>
            <w:r>
              <w:rPr>
                <w:rFonts w:ascii="宋体" w:hAnsi="宋体" w:hint="eastAsia"/>
                <w:kern w:val="0"/>
                <w:sz w:val="22"/>
              </w:rPr>
              <w:t>一</w:t>
            </w:r>
          </w:p>
        </w:tc>
        <w:tc>
          <w:tcPr>
            <w:tcW w:w="2933" w:type="dxa"/>
            <w:vAlign w:val="center"/>
          </w:tcPr>
          <w:p w14:paraId="2F470ADE" w14:textId="77777777" w:rsidR="00E3116F" w:rsidRDefault="00821F7A">
            <w:pPr>
              <w:jc w:val="center"/>
              <w:rPr>
                <w:rFonts w:ascii="仿宋" w:eastAsia="仿宋" w:hAnsi="仿宋"/>
                <w:i/>
                <w:kern w:val="0"/>
                <w:sz w:val="22"/>
              </w:rPr>
            </w:pPr>
            <w:r>
              <w:rPr>
                <w:rFonts w:ascii="Cambria Math" w:eastAsia="仿宋" w:hAnsi="Cambria Math"/>
                <w:kern w:val="0"/>
                <w:sz w:val="22"/>
              </w:rPr>
              <w:t>R</w:t>
            </w:r>
            <w:r>
              <w:rPr>
                <w:rFonts w:ascii="仿宋" w:eastAsia="仿宋" w:hAnsi="仿宋" w:hint="eastAsia"/>
                <w:kern w:val="0"/>
                <w:sz w:val="22"/>
              </w:rPr>
              <w:t>≤</w:t>
            </w:r>
            <w:r>
              <w:rPr>
                <w:rFonts w:ascii="Cambria Math" w:eastAsia="仿宋" w:hAnsi="Cambria Math"/>
                <w:kern w:val="0"/>
                <w:sz w:val="22"/>
              </w:rPr>
              <w:t>R</w:t>
            </w:r>
            <w:r>
              <w:rPr>
                <w:rFonts w:ascii="Cambria Math" w:eastAsia="仿宋" w:hAnsi="Cambria Math"/>
                <w:kern w:val="0"/>
                <w:sz w:val="22"/>
                <w:vertAlign w:val="subscript"/>
              </w:rPr>
              <w:t>b</w:t>
            </w:r>
            <w:r>
              <w:rPr>
                <w:rFonts w:ascii="Cambria Math" w:eastAsia="仿宋" w:hAnsi="Cambria Math" w:hint="eastAsia"/>
                <w:kern w:val="0"/>
                <w:sz w:val="22"/>
              </w:rPr>
              <w:t>-3%</w:t>
            </w:r>
          </w:p>
        </w:tc>
        <w:tc>
          <w:tcPr>
            <w:tcW w:w="1701" w:type="dxa"/>
            <w:vAlign w:val="center"/>
          </w:tcPr>
          <w:p w14:paraId="5378C01D" w14:textId="77777777" w:rsidR="00E3116F" w:rsidRDefault="00821F7A">
            <w:pPr>
              <w:jc w:val="center"/>
              <w:rPr>
                <w:rFonts w:ascii="Cambria" w:eastAsia="仿宋" w:hAnsi="Cambria"/>
                <w:kern w:val="0"/>
                <w:sz w:val="22"/>
              </w:rPr>
            </w:pPr>
            <w:r>
              <w:rPr>
                <w:rFonts w:ascii="Cambria" w:eastAsia="仿宋" w:hAnsi="Cambria" w:hint="eastAsia"/>
                <w:kern w:val="0"/>
                <w:sz w:val="22"/>
              </w:rPr>
              <w:t>0</w:t>
            </w:r>
          </w:p>
        </w:tc>
        <w:tc>
          <w:tcPr>
            <w:tcW w:w="1701" w:type="dxa"/>
            <w:vAlign w:val="center"/>
          </w:tcPr>
          <w:p w14:paraId="5A6EEDBA" w14:textId="77777777" w:rsidR="00E3116F" w:rsidRDefault="00821F7A">
            <w:pPr>
              <w:jc w:val="center"/>
              <w:rPr>
                <w:rFonts w:ascii="Cambria" w:eastAsia="仿宋" w:hAnsi="Cambria"/>
                <w:kern w:val="0"/>
                <w:sz w:val="22"/>
              </w:rPr>
            </w:pPr>
            <w:r>
              <w:rPr>
                <w:rFonts w:ascii="Cambria" w:eastAsia="仿宋" w:hAnsi="Cambria" w:hint="eastAsia"/>
                <w:kern w:val="0"/>
                <w:sz w:val="22"/>
              </w:rPr>
              <w:t>0</w:t>
            </w:r>
          </w:p>
        </w:tc>
      </w:tr>
      <w:tr w:rsidR="00E3116F" w14:paraId="45BC7A52" w14:textId="77777777">
        <w:trPr>
          <w:trHeight w:val="510"/>
          <w:jc w:val="center"/>
        </w:trPr>
        <w:tc>
          <w:tcPr>
            <w:tcW w:w="1247" w:type="dxa"/>
            <w:vAlign w:val="center"/>
          </w:tcPr>
          <w:p w14:paraId="40741507" w14:textId="77777777" w:rsidR="00E3116F" w:rsidRDefault="00821F7A">
            <w:pPr>
              <w:jc w:val="center"/>
              <w:rPr>
                <w:rFonts w:ascii="宋体" w:hAnsi="宋体"/>
                <w:kern w:val="0"/>
                <w:sz w:val="22"/>
              </w:rPr>
            </w:pPr>
            <w:r>
              <w:rPr>
                <w:rFonts w:ascii="宋体" w:hAnsi="宋体" w:hint="eastAsia"/>
                <w:bCs/>
                <w:kern w:val="0"/>
                <w:sz w:val="22"/>
              </w:rPr>
              <w:t>情形</w:t>
            </w:r>
            <w:r>
              <w:rPr>
                <w:rFonts w:ascii="宋体" w:hAnsi="宋体" w:hint="eastAsia"/>
                <w:kern w:val="0"/>
                <w:sz w:val="22"/>
              </w:rPr>
              <w:t>二</w:t>
            </w:r>
          </w:p>
        </w:tc>
        <w:tc>
          <w:tcPr>
            <w:tcW w:w="2933" w:type="dxa"/>
            <w:vAlign w:val="center"/>
          </w:tcPr>
          <w:p w14:paraId="40578AFB" w14:textId="77777777" w:rsidR="00E3116F" w:rsidRDefault="00821F7A">
            <w:pPr>
              <w:jc w:val="center"/>
              <w:rPr>
                <w:rFonts w:ascii="仿宋" w:eastAsia="仿宋" w:hAnsi="仿宋"/>
                <w:kern w:val="0"/>
                <w:sz w:val="22"/>
              </w:rPr>
            </w:pPr>
            <w:r>
              <w:rPr>
                <w:rFonts w:ascii="宋体" w:hAnsi="宋体"/>
                <w:bCs/>
                <w:kern w:val="0"/>
                <w:sz w:val="22"/>
              </w:rPr>
              <w:t>其他情形</w:t>
            </w:r>
          </w:p>
        </w:tc>
        <w:tc>
          <w:tcPr>
            <w:tcW w:w="1701" w:type="dxa"/>
            <w:vAlign w:val="center"/>
          </w:tcPr>
          <w:p w14:paraId="797B8610" w14:textId="77777777" w:rsidR="00E3116F" w:rsidRDefault="00821F7A">
            <w:pPr>
              <w:jc w:val="center"/>
              <w:rPr>
                <w:rFonts w:ascii="Cambria" w:eastAsia="仿宋" w:hAnsi="Cambria"/>
                <w:kern w:val="0"/>
                <w:sz w:val="22"/>
              </w:rPr>
            </w:pPr>
            <w:r>
              <w:rPr>
                <w:rFonts w:ascii="Cambria" w:eastAsia="仿宋" w:hAnsi="Cambria" w:hint="eastAsia"/>
                <w:kern w:val="0"/>
                <w:sz w:val="22"/>
              </w:rPr>
              <w:t>0.60%</w:t>
            </w:r>
          </w:p>
        </w:tc>
        <w:tc>
          <w:tcPr>
            <w:tcW w:w="1701" w:type="dxa"/>
            <w:vAlign w:val="center"/>
          </w:tcPr>
          <w:p w14:paraId="12D30D93" w14:textId="77777777" w:rsidR="00E3116F" w:rsidRDefault="00821F7A">
            <w:pPr>
              <w:jc w:val="center"/>
              <w:rPr>
                <w:rFonts w:ascii="Cambria" w:eastAsia="仿宋" w:hAnsi="Cambria"/>
                <w:kern w:val="0"/>
                <w:sz w:val="22"/>
              </w:rPr>
            </w:pPr>
            <w:r>
              <w:rPr>
                <w:rFonts w:ascii="Cambria" w:eastAsia="仿宋" w:hAnsi="Cambria" w:hint="eastAsia"/>
                <w:kern w:val="0"/>
                <w:sz w:val="22"/>
              </w:rPr>
              <w:t>0</w:t>
            </w:r>
          </w:p>
        </w:tc>
      </w:tr>
      <w:tr w:rsidR="00E3116F" w14:paraId="0834F243" w14:textId="77777777">
        <w:trPr>
          <w:trHeight w:val="510"/>
          <w:jc w:val="center"/>
        </w:trPr>
        <w:tc>
          <w:tcPr>
            <w:tcW w:w="1247" w:type="dxa"/>
            <w:vAlign w:val="center"/>
          </w:tcPr>
          <w:p w14:paraId="6AAD8549" w14:textId="77777777" w:rsidR="00E3116F" w:rsidRDefault="00821F7A">
            <w:pPr>
              <w:jc w:val="center"/>
              <w:rPr>
                <w:rFonts w:ascii="宋体" w:hAnsi="宋体"/>
                <w:kern w:val="0"/>
                <w:sz w:val="22"/>
              </w:rPr>
            </w:pPr>
            <w:r>
              <w:rPr>
                <w:rFonts w:ascii="宋体" w:hAnsi="宋体" w:hint="eastAsia"/>
                <w:kern w:val="0"/>
                <w:sz w:val="22"/>
              </w:rPr>
              <w:t>情形三</w:t>
            </w:r>
          </w:p>
        </w:tc>
        <w:tc>
          <w:tcPr>
            <w:tcW w:w="2933" w:type="dxa"/>
            <w:vAlign w:val="center"/>
          </w:tcPr>
          <w:p w14:paraId="1DDF3822" w14:textId="77777777" w:rsidR="00E3116F" w:rsidRDefault="00821F7A">
            <w:pPr>
              <w:spacing w:line="276" w:lineRule="auto"/>
              <w:jc w:val="center"/>
              <w:rPr>
                <w:rFonts w:ascii="仿宋" w:eastAsia="仿宋" w:hAnsi="仿宋"/>
                <w:b/>
                <w:bCs/>
                <w:kern w:val="0"/>
                <w:sz w:val="22"/>
              </w:rPr>
            </w:pPr>
            <w:r>
              <w:rPr>
                <w:bCs/>
                <w:sz w:val="22"/>
              </w:rPr>
              <w:t>R</w:t>
            </w:r>
            <w:r>
              <w:rPr>
                <w:rFonts w:ascii="仿宋" w:eastAsia="仿宋" w:hAnsi="仿宋" w:hint="eastAsia"/>
                <w:bCs/>
                <w:sz w:val="22"/>
              </w:rPr>
              <w:t>＞</w:t>
            </w:r>
            <w:r>
              <w:rPr>
                <w:bCs/>
                <w:sz w:val="22"/>
              </w:rPr>
              <w:t>R</w:t>
            </w:r>
            <w:r>
              <w:rPr>
                <w:rFonts w:asciiTheme="majorHAnsi" w:hAnsiTheme="majorHAnsi"/>
                <w:spacing w:val="-2"/>
                <w:sz w:val="22"/>
                <w:vertAlign w:val="subscript"/>
              </w:rPr>
              <w:t>b</w:t>
            </w:r>
            <w:r>
              <w:rPr>
                <w:bCs/>
                <w:sz w:val="22"/>
              </w:rPr>
              <w:t>+6%</w:t>
            </w:r>
            <w:r>
              <w:rPr>
                <w:bCs/>
                <w:sz w:val="22"/>
              </w:rPr>
              <w:t>，</w:t>
            </w:r>
            <w:r>
              <w:rPr>
                <w:bCs/>
                <w:sz w:val="22"/>
              </w:rPr>
              <w:t>R</w:t>
            </w:r>
            <w:r>
              <w:rPr>
                <w:rFonts w:ascii="仿宋" w:eastAsia="仿宋" w:hAnsi="仿宋" w:hint="eastAsia"/>
                <w:bCs/>
                <w:sz w:val="22"/>
              </w:rPr>
              <w:t>＞</w:t>
            </w:r>
            <w:r>
              <w:rPr>
                <w:bCs/>
                <w:sz w:val="22"/>
              </w:rPr>
              <w:t>0</w:t>
            </w:r>
          </w:p>
        </w:tc>
        <w:tc>
          <w:tcPr>
            <w:tcW w:w="1701" w:type="dxa"/>
            <w:vAlign w:val="center"/>
          </w:tcPr>
          <w:p w14:paraId="1779386F" w14:textId="77777777" w:rsidR="00E3116F" w:rsidRDefault="00821F7A">
            <w:pPr>
              <w:jc w:val="center"/>
              <w:rPr>
                <w:rFonts w:ascii="Cambria" w:eastAsia="仿宋" w:hAnsi="Cambria"/>
                <w:kern w:val="0"/>
                <w:sz w:val="22"/>
              </w:rPr>
            </w:pPr>
            <w:r>
              <w:rPr>
                <w:rFonts w:ascii="Cambria" w:eastAsia="仿宋" w:hAnsi="Cambria" w:hint="eastAsia"/>
                <w:kern w:val="0"/>
                <w:sz w:val="22"/>
              </w:rPr>
              <w:t>0.60%</w:t>
            </w:r>
          </w:p>
        </w:tc>
        <w:tc>
          <w:tcPr>
            <w:tcW w:w="1701" w:type="dxa"/>
            <w:vAlign w:val="center"/>
          </w:tcPr>
          <w:p w14:paraId="2076CA20" w14:textId="77777777" w:rsidR="00E3116F" w:rsidRDefault="00821F7A">
            <w:pPr>
              <w:jc w:val="center"/>
              <w:rPr>
                <w:rFonts w:ascii="Cambria" w:eastAsia="仿宋" w:hAnsi="Cambria"/>
                <w:kern w:val="0"/>
                <w:sz w:val="22"/>
              </w:rPr>
            </w:pPr>
            <w:r>
              <w:rPr>
                <w:rFonts w:ascii="Cambria" w:eastAsia="仿宋" w:hAnsi="Cambria" w:hint="eastAsia"/>
                <w:kern w:val="0"/>
                <w:sz w:val="22"/>
              </w:rPr>
              <w:t>0.30%</w:t>
            </w:r>
          </w:p>
        </w:tc>
      </w:tr>
    </w:tbl>
    <w:bookmarkEnd w:id="106"/>
    <w:p w14:paraId="6AEC353F" w14:textId="11C106E3" w:rsidR="00E3116F" w:rsidRDefault="00821F7A">
      <w:pPr>
        <w:spacing w:line="360" w:lineRule="auto"/>
        <w:ind w:firstLineChars="200" w:firstLine="480"/>
        <w:rPr>
          <w:bCs/>
          <w:sz w:val="24"/>
          <w14:ligatures w14:val="standardContextual"/>
        </w:rPr>
      </w:pPr>
      <w:r>
        <w:rPr>
          <w:rFonts w:hint="eastAsia"/>
          <w:bCs/>
          <w:sz w:val="24"/>
          <w14:ligatures w14:val="standardContextual"/>
        </w:rPr>
        <w:t>对于“情形三”，若拟扣除超额管理费后的年化收益率小于等于</w:t>
      </w:r>
      <w:r>
        <w:rPr>
          <w:bCs/>
          <w:sz w:val="24"/>
          <w14:ligatures w14:val="standardContextual"/>
        </w:rPr>
        <w:t>R</w:t>
      </w:r>
      <w:r>
        <w:rPr>
          <w:bCs/>
          <w:sz w:val="24"/>
          <w:vertAlign w:val="subscript"/>
          <w14:ligatures w14:val="standardContextual"/>
        </w:rPr>
        <w:t>b</w:t>
      </w:r>
      <w:r>
        <w:rPr>
          <w:bCs/>
          <w:sz w:val="24"/>
          <w14:ligatures w14:val="standardContextual"/>
        </w:rPr>
        <w:t>+6%</w:t>
      </w:r>
      <w:r>
        <w:rPr>
          <w:rFonts w:hint="eastAsia"/>
          <w:bCs/>
          <w:sz w:val="24"/>
          <w14:ligatures w14:val="standardContextual"/>
        </w:rPr>
        <w:t>，或小于等于</w:t>
      </w:r>
      <w:r>
        <w:rPr>
          <w:rFonts w:hint="eastAsia"/>
          <w:bCs/>
          <w:sz w:val="24"/>
          <w14:ligatures w14:val="standardContextual"/>
        </w:rPr>
        <w:t>0</w:t>
      </w:r>
      <w:r>
        <w:rPr>
          <w:rFonts w:hint="eastAsia"/>
          <w:bCs/>
          <w:sz w:val="24"/>
          <w14:ligatures w14:val="standardContextual"/>
        </w:rPr>
        <w:t>时，仍按</w:t>
      </w:r>
      <w:r>
        <w:rPr>
          <w:rFonts w:hint="eastAsia"/>
          <w:bCs/>
          <w:sz w:val="24"/>
          <w14:ligatures w14:val="standardContextual"/>
        </w:rPr>
        <w:t>1.20%</w:t>
      </w:r>
      <w:r>
        <w:rPr>
          <w:rFonts w:hint="eastAsia"/>
          <w:bCs/>
          <w:sz w:val="24"/>
          <w14:ligatures w14:val="standardContextual"/>
        </w:rPr>
        <w:t>年费率收取该笔基金份额的管理费，以</w:t>
      </w:r>
      <w:r w:rsidR="00FA115E">
        <w:rPr>
          <w:rFonts w:hint="eastAsia"/>
          <w:bCs/>
          <w:sz w:val="24"/>
          <w14:ligatures w14:val="standardContextual"/>
        </w:rPr>
        <w:t>使得</w:t>
      </w:r>
      <w:r>
        <w:rPr>
          <w:rFonts w:hint="eastAsia"/>
          <w:bCs/>
          <w:sz w:val="24"/>
          <w14:ligatures w14:val="standardContextual"/>
        </w:rPr>
        <w:t>该笔基金份额在扣除超额管理费后的年化收益率</w:t>
      </w:r>
      <w:r w:rsidR="00FA115E">
        <w:rPr>
          <w:rFonts w:hint="eastAsia"/>
          <w:bCs/>
          <w:sz w:val="24"/>
          <w14:ligatures w14:val="standardContextual"/>
        </w:rPr>
        <w:t>仍需</w:t>
      </w:r>
      <w:r>
        <w:rPr>
          <w:rFonts w:hint="eastAsia"/>
          <w:bCs/>
          <w:sz w:val="24"/>
          <w14:ligatures w14:val="standardContextual"/>
        </w:rPr>
        <w:t>满足本基金收取超额管理费的标准。</w:t>
      </w:r>
    </w:p>
    <w:p w14:paraId="7472CCA1" w14:textId="77777777" w:rsidR="00E3116F" w:rsidRDefault="00821F7A">
      <w:pPr>
        <w:adjustRightInd w:val="0"/>
        <w:snapToGrid w:val="0"/>
        <w:spacing w:line="360" w:lineRule="auto"/>
        <w:ind w:firstLineChars="177" w:firstLine="425"/>
        <w:rPr>
          <w:rFonts w:ascii="宋体" w:hAnsi="宋体"/>
          <w:sz w:val="24"/>
          <w:szCs w:val="24"/>
        </w:rPr>
      </w:pPr>
      <w:r>
        <w:rPr>
          <w:rFonts w:ascii="宋体" w:hAnsi="宋体" w:hint="eastAsia"/>
          <w:sz w:val="24"/>
          <w:szCs w:val="24"/>
        </w:rPr>
        <w:t>每笔基金份额持有期的年化收益率（R）计算方法如下：</w:t>
      </w:r>
    </w:p>
    <w:p w14:paraId="40031AF4" w14:textId="77777777" w:rsidR="00E3116F" w:rsidRDefault="00821F7A">
      <w:pPr>
        <w:adjustRightInd w:val="0"/>
        <w:snapToGrid w:val="0"/>
        <w:spacing w:line="360" w:lineRule="auto"/>
        <w:ind w:firstLineChars="129" w:firstLine="361"/>
        <w:jc w:val="center"/>
        <w:rPr>
          <w:rFonts w:asciiTheme="minorEastAsia" w:eastAsiaTheme="minorEastAsia" w:hAnsiTheme="minorEastAsia"/>
          <w:sz w:val="24"/>
        </w:rPr>
      </w:pPr>
      <m:oMath>
        <m:r>
          <m:rPr>
            <m:sty m:val="p"/>
          </m:rPr>
          <w:rPr>
            <w:rFonts w:ascii="Cambria Math" w:hAnsi="Cambria Math"/>
            <w:sz w:val="28"/>
            <w:szCs w:val="24"/>
          </w:rPr>
          <m:t>R=</m:t>
        </m:r>
        <m:f>
          <m:fPr>
            <m:ctrlPr>
              <w:rPr>
                <w:rFonts w:ascii="Cambria Math" w:hAnsi="Cambria Math" w:cs="Calibri"/>
                <w:sz w:val="28"/>
                <w:szCs w:val="24"/>
              </w:rPr>
            </m:ctrlPr>
          </m:fPr>
          <m:num>
            <m:r>
              <w:rPr>
                <w:rFonts w:ascii="Cambria Math" w:hAnsi="Cambria Math" w:cs="Calibri" w:hint="eastAsia"/>
                <w:sz w:val="28"/>
                <w:szCs w:val="24"/>
              </w:rPr>
              <m:t>A</m:t>
            </m:r>
            <m:r>
              <w:rPr>
                <w:rFonts w:ascii="Cambria Math" w:hAnsi="Cambria Math"/>
                <w:sz w:val="28"/>
                <w:szCs w:val="24"/>
              </w:rPr>
              <m:t>-</m:t>
            </m:r>
            <m:r>
              <w:rPr>
                <w:rFonts w:ascii="Cambria Math" w:hAnsi="Cambria Math" w:cs="Calibri" w:hint="eastAsia"/>
                <w:sz w:val="28"/>
                <w:szCs w:val="24"/>
              </w:rPr>
              <m:t>B</m:t>
            </m:r>
          </m:num>
          <m:den>
            <m:r>
              <w:rPr>
                <w:rFonts w:ascii="Cambria Math" w:hAnsi="Cambria Math" w:cs="Calibri" w:hint="eastAsia"/>
                <w:sz w:val="28"/>
                <w:szCs w:val="24"/>
              </w:rPr>
              <m:t>C</m:t>
            </m:r>
          </m:den>
        </m:f>
      </m:oMath>
      <w:r>
        <w:rPr>
          <w:rFonts w:asciiTheme="minorEastAsia" w:eastAsiaTheme="minorEastAsia" w:hAnsiTheme="minorEastAsia"/>
          <w:sz w:val="24"/>
        </w:rPr>
        <w:t>×</w:t>
      </w:r>
      <m:oMath>
        <m:f>
          <m:fPr>
            <m:ctrlPr>
              <w:rPr>
                <w:rFonts w:ascii="Cambria Math" w:hAnsi="Cambria Math" w:cs="Calibri"/>
                <w:sz w:val="32"/>
              </w:rPr>
            </m:ctrlPr>
          </m:fPr>
          <m:num>
            <m:r>
              <w:rPr>
                <w:rFonts w:ascii="Cambria Math" w:hAnsi="Cambria Math"/>
                <w:sz w:val="32"/>
              </w:rPr>
              <m:t>365</m:t>
            </m:r>
          </m:num>
          <m:den>
            <m:r>
              <w:rPr>
                <w:rFonts w:ascii="Cambria Math" w:hAnsi="Cambria Math" w:cs="Calibri" w:hint="eastAsia"/>
                <w:sz w:val="32"/>
              </w:rPr>
              <m:t>D</m:t>
            </m:r>
          </m:den>
        </m:f>
      </m:oMath>
      <w:r>
        <w:rPr>
          <w:rFonts w:asciiTheme="minorEastAsia" w:eastAsiaTheme="minorEastAsia" w:hAnsiTheme="minorEastAsia"/>
          <w:sz w:val="24"/>
        </w:rPr>
        <w:t>×100%</w:t>
      </w:r>
    </w:p>
    <w:p w14:paraId="6616300C" w14:textId="77777777" w:rsidR="00E3116F" w:rsidRDefault="00821F7A">
      <w:pPr>
        <w:adjustRightInd w:val="0"/>
        <w:snapToGrid w:val="0"/>
        <w:spacing w:line="360" w:lineRule="auto"/>
        <w:ind w:firstLineChars="177" w:firstLine="425"/>
        <w:rPr>
          <w:rFonts w:ascii="宋体" w:hAnsi="宋体"/>
          <w:sz w:val="24"/>
          <w:szCs w:val="24"/>
        </w:rPr>
      </w:pPr>
      <w:r>
        <w:rPr>
          <w:rFonts w:ascii="宋体" w:hAnsi="宋体" w:hint="eastAsia"/>
          <w:sz w:val="24"/>
          <w:szCs w:val="24"/>
        </w:rPr>
        <w:t>业绩比较基准同期年化收益率（</w:t>
      </w:r>
      <w:r>
        <w:rPr>
          <w:bCs/>
          <w:sz w:val="24"/>
          <w14:ligatures w14:val="standardContextual"/>
        </w:rPr>
        <w:t>R</w:t>
      </w:r>
      <w:r>
        <w:rPr>
          <w:bCs/>
          <w:sz w:val="24"/>
          <w:vertAlign w:val="subscript"/>
          <w14:ligatures w14:val="standardContextual"/>
        </w:rPr>
        <w:t>b</w:t>
      </w:r>
      <w:r>
        <w:rPr>
          <w:rFonts w:ascii="宋体" w:hAnsi="宋体" w:hint="eastAsia"/>
          <w:sz w:val="24"/>
          <w:szCs w:val="24"/>
        </w:rPr>
        <w:t>）计算方法如下：</w:t>
      </w:r>
    </w:p>
    <w:p w14:paraId="7C3E264E" w14:textId="77777777" w:rsidR="00E3116F" w:rsidRDefault="003E4BE7">
      <w:pPr>
        <w:adjustRightInd w:val="0"/>
        <w:snapToGrid w:val="0"/>
        <w:spacing w:line="360" w:lineRule="auto"/>
        <w:ind w:firstLineChars="129" w:firstLine="310"/>
        <w:jc w:val="center"/>
        <w:rPr>
          <w:rFonts w:asciiTheme="minorEastAsia" w:eastAsiaTheme="minorEastAsia" w:hAnsiTheme="minorEastAsia"/>
          <w:sz w:val="24"/>
        </w:rPr>
      </w:pPr>
      <m:oMath>
        <m:sSub>
          <m:sSubPr>
            <m:ctrlPr>
              <w:rPr>
                <w:rFonts w:ascii="Cambria Math" w:hAnsi="Cambria Math"/>
                <w:bCs/>
                <w:sz w:val="24"/>
                <w:szCs w:val="24"/>
                <w:vertAlign w:val="subscript"/>
                <w14:ligatures w14:val="standardContextual"/>
              </w:rPr>
            </m:ctrlPr>
          </m:sSubPr>
          <m:e>
            <m:r>
              <w:rPr>
                <w:rFonts w:ascii="Cambria Math" w:hAnsi="Cambria Math"/>
                <w:sz w:val="24"/>
                <w:szCs w:val="24"/>
                <w:vertAlign w:val="subscript"/>
                <w14:ligatures w14:val="standardContextual"/>
              </w:rPr>
              <m:t>R</m:t>
            </m:r>
          </m:e>
          <m:sub>
            <m:r>
              <w:rPr>
                <w:rFonts w:ascii="Cambria Math" w:hAnsi="Cambria Math"/>
                <w:sz w:val="24"/>
                <w:szCs w:val="24"/>
                <w:vertAlign w:val="subscript"/>
                <w14:ligatures w14:val="standardContextual"/>
              </w:rPr>
              <m:t>b</m:t>
            </m:r>
          </m:sub>
        </m:sSub>
        <m:r>
          <m:rPr>
            <m:sty m:val="p"/>
          </m:rPr>
          <w:rPr>
            <w:rFonts w:ascii="Cambria Math" w:hAnsi="Cambria Math"/>
            <w:sz w:val="24"/>
            <w:szCs w:val="24"/>
          </w:rPr>
          <m:t>=</m:t>
        </m:r>
        <m:r>
          <m:rPr>
            <m:sty m:val="p"/>
          </m:rPr>
          <w:rPr>
            <w:rFonts w:ascii="Cambria Math" w:hAnsi="Cambria Math"/>
            <w:sz w:val="24"/>
            <w:szCs w:val="24"/>
          </w:rPr>
          <m:t>业绩比较基准同期收益率</m:t>
        </m:r>
      </m:oMath>
      <w:r w:rsidR="00821F7A">
        <w:rPr>
          <w:rFonts w:asciiTheme="minorEastAsia" w:eastAsiaTheme="minorEastAsia" w:hAnsiTheme="minorEastAsia"/>
          <w:sz w:val="24"/>
          <w:szCs w:val="24"/>
        </w:rPr>
        <w:t>×</w:t>
      </w:r>
      <m:oMath>
        <m:f>
          <m:fPr>
            <m:ctrlPr>
              <w:rPr>
                <w:rFonts w:ascii="Cambria Math" w:hAnsi="Cambria Math" w:cs="Calibri"/>
                <w:sz w:val="32"/>
              </w:rPr>
            </m:ctrlPr>
          </m:fPr>
          <m:num>
            <m:r>
              <w:rPr>
                <w:rFonts w:ascii="Cambria Math" w:hAnsi="Cambria Math"/>
                <w:sz w:val="32"/>
              </w:rPr>
              <m:t>365</m:t>
            </m:r>
          </m:num>
          <m:den>
            <m:r>
              <w:rPr>
                <w:rFonts w:ascii="Cambria Math" w:hAnsi="Cambria Math" w:cs="Calibri" w:hint="eastAsia"/>
                <w:sz w:val="32"/>
              </w:rPr>
              <m:t>D</m:t>
            </m:r>
          </m:den>
        </m:f>
      </m:oMath>
      <w:r w:rsidR="00821F7A">
        <w:rPr>
          <w:rFonts w:asciiTheme="minorEastAsia" w:eastAsiaTheme="minorEastAsia" w:hAnsiTheme="minorEastAsia"/>
          <w:sz w:val="24"/>
        </w:rPr>
        <w:t>×100%</w:t>
      </w:r>
    </w:p>
    <w:p w14:paraId="0989E1A5" w14:textId="77777777" w:rsidR="00E3116F" w:rsidRDefault="00821F7A">
      <w:pPr>
        <w:spacing w:line="360" w:lineRule="auto"/>
        <w:ind w:firstLineChars="200" w:firstLine="480"/>
        <w:rPr>
          <w:bCs/>
          <w:sz w:val="24"/>
          <w14:ligatures w14:val="standardContextual"/>
        </w:rPr>
      </w:pPr>
      <w:r>
        <w:rPr>
          <w:rFonts w:hint="eastAsia"/>
          <w:bCs/>
          <w:sz w:val="24"/>
          <w14:ligatures w14:val="standardContextual"/>
        </w:rPr>
        <w:t>拟扣除超额管理费后的年化收益率（</w:t>
      </w:r>
      <w:r>
        <w:rPr>
          <w:rFonts w:hint="eastAsia"/>
          <w:bCs/>
          <w:sz w:val="24"/>
          <w14:ligatures w14:val="standardContextual"/>
        </w:rPr>
        <w:t>R*</w:t>
      </w:r>
      <w:r>
        <w:rPr>
          <w:rFonts w:hint="eastAsia"/>
          <w:bCs/>
          <w:sz w:val="24"/>
          <w14:ligatures w14:val="standardContextual"/>
        </w:rPr>
        <w:t>）的计算方法如下：</w:t>
      </w:r>
    </w:p>
    <w:p w14:paraId="09A22207" w14:textId="77777777" w:rsidR="00E3116F" w:rsidRDefault="00821F7A">
      <w:pPr>
        <w:spacing w:line="360" w:lineRule="auto"/>
        <w:ind w:firstLineChars="200" w:firstLine="480"/>
        <w:jc w:val="center"/>
        <w:rPr>
          <w:bCs/>
          <w:sz w:val="24"/>
          <w14:ligatures w14:val="standardContextual"/>
        </w:rPr>
      </w:pPr>
      <m:oMathPara>
        <m:oMath>
          <m:r>
            <m:rPr>
              <m:sty m:val="p"/>
            </m:rPr>
            <w:rPr>
              <w:rFonts w:ascii="Cambria Math" w:hAnsi="Cambria Math" w:hint="eastAsia"/>
              <w:sz w:val="24"/>
              <w14:ligatures w14:val="standardContextual"/>
            </w:rPr>
            <m:t>R</m:t>
          </m:r>
          <m:r>
            <m:rPr>
              <m:sty m:val="p"/>
            </m:rPr>
            <w:rPr>
              <w:rFonts w:ascii="MS Gothic" w:hAnsi="MS Gothic" w:cs="MS Gothic"/>
              <w:sz w:val="24"/>
              <w14:ligatures w14:val="standardContextual"/>
            </w:rPr>
            <m:t>*</m:t>
          </m:r>
          <m:r>
            <w:rPr>
              <w:rFonts w:ascii="Cambria Math" w:hAnsi="Cambria Math"/>
              <w:sz w:val="24"/>
              <w14:ligatures w14:val="standardContextual"/>
            </w:rPr>
            <m:t>=</m:t>
          </m:r>
          <m:f>
            <m:fPr>
              <m:ctrlPr>
                <w:rPr>
                  <w:rFonts w:ascii="Cambria Math" w:hAnsi="Cambria Math"/>
                  <w:bCs/>
                  <w:i/>
                  <w:sz w:val="24"/>
                  <w14:ligatures w14:val="standardContextual"/>
                </w:rPr>
              </m:ctrlPr>
            </m:fPr>
            <m:num>
              <m:r>
                <w:rPr>
                  <w:rFonts w:ascii="Cambria Math" w:hAnsi="Cambria Math"/>
                  <w:sz w:val="24"/>
                  <w14:ligatures w14:val="standardContextual"/>
                </w:rPr>
                <m:t>F×</m:t>
              </m:r>
              <m:d>
                <m:dPr>
                  <m:ctrlPr>
                    <w:rPr>
                      <w:rFonts w:ascii="Cambria Math" w:hAnsi="Cambria Math"/>
                      <w:bCs/>
                      <w:i/>
                      <w:sz w:val="24"/>
                      <w14:ligatures w14:val="standardContextual"/>
                    </w:rPr>
                  </m:ctrlPr>
                </m:dPr>
                <m:e>
                  <m:r>
                    <w:rPr>
                      <w:rFonts w:ascii="Cambria Math" w:hAnsi="Cambria Math"/>
                      <w:sz w:val="24"/>
                      <w14:ligatures w14:val="standardContextual"/>
                    </w:rPr>
                    <m:t>A-B</m:t>
                  </m:r>
                </m:e>
              </m:d>
              <m:r>
                <w:rPr>
                  <w:rFonts w:ascii="Cambria Math" w:hAnsi="Cambria Math"/>
                  <w:sz w:val="24"/>
                  <w14:ligatures w14:val="standardContextual"/>
                </w:rPr>
                <m:t>-</m:t>
              </m:r>
              <m:sSub>
                <m:sSubPr>
                  <m:ctrlPr>
                    <w:rPr>
                      <w:rFonts w:ascii="Cambria Math" w:hAnsi="Cambria Math"/>
                      <w:bCs/>
                      <w:i/>
                      <w:sz w:val="24"/>
                      <w14:ligatures w14:val="standardContextual"/>
                    </w:rPr>
                  </m:ctrlPr>
                </m:sSubPr>
                <m:e>
                  <m:r>
                    <w:rPr>
                      <w:rFonts w:ascii="Cambria Math" w:hAnsi="Cambria Math"/>
                      <w:sz w:val="24"/>
                      <w14:ligatures w14:val="standardContextual"/>
                    </w:rPr>
                    <m:t>M</m:t>
                  </m:r>
                </m:e>
                <m:sub>
                  <m:r>
                    <w:rPr>
                      <w:rFonts w:ascii="Cambria Math" w:hAnsi="Cambria Math"/>
                      <w:sz w:val="24"/>
                      <w14:ligatures w14:val="standardContextual"/>
                    </w:rPr>
                    <m:t>C</m:t>
                  </m:r>
                </m:sub>
              </m:sSub>
            </m:num>
            <m:den>
              <m:r>
                <w:rPr>
                  <w:rFonts w:ascii="Cambria Math" w:hAnsi="Cambria Math"/>
                  <w:sz w:val="24"/>
                  <w14:ligatures w14:val="standardContextual"/>
                </w:rPr>
                <m:t>F×C</m:t>
              </m:r>
            </m:den>
          </m:f>
          <m:r>
            <w:rPr>
              <w:rFonts w:ascii="Cambria Math" w:hAnsi="Cambria Math"/>
              <w:sz w:val="24"/>
              <w14:ligatures w14:val="standardContextual"/>
            </w:rPr>
            <m:t>×</m:t>
          </m:r>
          <m:f>
            <m:fPr>
              <m:ctrlPr>
                <w:rPr>
                  <w:rFonts w:ascii="Cambria Math" w:hAnsi="Cambria Math"/>
                  <w:bCs/>
                  <w:i/>
                  <w:sz w:val="24"/>
                  <w14:ligatures w14:val="standardContextual"/>
                </w:rPr>
              </m:ctrlPr>
            </m:fPr>
            <m:num>
              <m:r>
                <w:rPr>
                  <w:rFonts w:ascii="Cambria Math" w:hAnsi="Cambria Math"/>
                  <w:sz w:val="24"/>
                  <w14:ligatures w14:val="standardContextual"/>
                </w:rPr>
                <m:t>365</m:t>
              </m:r>
            </m:num>
            <m:den>
              <m:r>
                <w:rPr>
                  <w:rFonts w:ascii="Cambria Math" w:hAnsi="Cambria Math"/>
                  <w:sz w:val="24"/>
                  <w14:ligatures w14:val="standardContextual"/>
                </w:rPr>
                <m:t>D</m:t>
              </m:r>
            </m:den>
          </m:f>
          <m:r>
            <w:rPr>
              <w:rFonts w:ascii="Cambria Math" w:eastAsia="仿宋" w:hAnsi="Cambria Math" w:cs="TimesNewRomanPSMT"/>
              <w:sz w:val="24"/>
              <w14:ligatures w14:val="standardContextual"/>
            </w:rPr>
            <m:t>×100%</m:t>
          </m:r>
        </m:oMath>
      </m:oMathPara>
    </w:p>
    <w:p w14:paraId="0EBA48E4" w14:textId="77777777" w:rsidR="00E3116F" w:rsidRDefault="00821F7A">
      <w:pPr>
        <w:adjustRightInd w:val="0"/>
        <w:snapToGrid w:val="0"/>
        <w:spacing w:line="360" w:lineRule="auto"/>
        <w:ind w:left="60" w:firstLine="420"/>
        <w:rPr>
          <w:rFonts w:ascii="宋体" w:hAnsi="宋体"/>
          <w:sz w:val="24"/>
          <w:szCs w:val="24"/>
        </w:rPr>
      </w:pPr>
      <w:r>
        <w:rPr>
          <w:rFonts w:ascii="宋体" w:hAnsi="宋体" w:hint="eastAsia"/>
          <w:sz w:val="24"/>
          <w:szCs w:val="24"/>
        </w:rPr>
        <w:t>R为该笔基金份额的年化收益率；</w:t>
      </w:r>
      <w:r>
        <w:rPr>
          <w:bCs/>
          <w:sz w:val="24"/>
          <w14:ligatures w14:val="standardContextual"/>
        </w:rPr>
        <w:t>R</w:t>
      </w:r>
      <w:r>
        <w:rPr>
          <w:bCs/>
          <w:sz w:val="24"/>
          <w:vertAlign w:val="subscript"/>
          <w14:ligatures w14:val="standardContextual"/>
        </w:rPr>
        <w:t>b</w:t>
      </w:r>
      <w:r>
        <w:rPr>
          <w:rFonts w:ascii="宋体" w:hAnsi="宋体" w:hint="eastAsia"/>
          <w:sz w:val="24"/>
          <w:szCs w:val="24"/>
        </w:rPr>
        <w:t>为本基金业绩比较基准同期年化收益率；</w:t>
      </w:r>
    </w:p>
    <w:p w14:paraId="22595F1B" w14:textId="77777777" w:rsidR="00E3116F" w:rsidRDefault="00821F7A">
      <w:pPr>
        <w:adjustRightInd w:val="0"/>
        <w:snapToGrid w:val="0"/>
        <w:spacing w:line="360" w:lineRule="auto"/>
        <w:ind w:left="60" w:firstLine="420"/>
        <w:rPr>
          <w:rFonts w:ascii="宋体" w:hAnsi="宋体"/>
          <w:sz w:val="24"/>
          <w:szCs w:val="24"/>
        </w:rPr>
      </w:pPr>
      <w:r>
        <w:rPr>
          <w:rFonts w:ascii="宋体" w:hAnsi="宋体" w:hint="eastAsia"/>
          <w:sz w:val="24"/>
          <w:szCs w:val="24"/>
        </w:rPr>
        <w:t>A为该笔份额赎回日、转换转出日或基金合同终止情形发生日的基金份额累计净值；</w:t>
      </w:r>
    </w:p>
    <w:p w14:paraId="59A253E4" w14:textId="33DB690D" w:rsidR="00E3116F" w:rsidRDefault="00821F7A">
      <w:pPr>
        <w:adjustRightInd w:val="0"/>
        <w:snapToGrid w:val="0"/>
        <w:spacing w:line="360" w:lineRule="auto"/>
        <w:ind w:left="60" w:firstLine="420"/>
        <w:rPr>
          <w:rFonts w:ascii="宋体" w:hAnsi="宋体"/>
          <w:sz w:val="24"/>
          <w:szCs w:val="24"/>
        </w:rPr>
      </w:pPr>
      <w:r>
        <w:rPr>
          <w:rFonts w:ascii="宋体" w:hAnsi="宋体" w:hint="eastAsia"/>
          <w:sz w:val="24"/>
          <w:szCs w:val="24"/>
        </w:rPr>
        <w:t>B为该笔份额</w:t>
      </w:r>
      <w:r w:rsidR="00FA115E">
        <w:rPr>
          <w:rFonts w:ascii="宋体" w:hAnsi="宋体" w:hint="eastAsia"/>
          <w:sz w:val="24"/>
          <w:szCs w:val="24"/>
        </w:rPr>
        <w:t>认购/申</w:t>
      </w:r>
      <w:r>
        <w:rPr>
          <w:rFonts w:ascii="宋体" w:hAnsi="宋体" w:hint="eastAsia"/>
          <w:sz w:val="24"/>
          <w:szCs w:val="24"/>
        </w:rPr>
        <w:t>购/转换转入日的基金份额累计净值，其中份额认购日的基金份额（累计）净值为1.00元；</w:t>
      </w:r>
    </w:p>
    <w:p w14:paraId="43793DCD" w14:textId="2A840AC8" w:rsidR="00E3116F" w:rsidRDefault="00821F7A">
      <w:pPr>
        <w:adjustRightInd w:val="0"/>
        <w:snapToGrid w:val="0"/>
        <w:spacing w:line="360" w:lineRule="auto"/>
        <w:ind w:left="60" w:firstLine="420"/>
        <w:rPr>
          <w:rFonts w:ascii="宋体" w:hAnsi="宋体"/>
          <w:sz w:val="24"/>
          <w:szCs w:val="24"/>
        </w:rPr>
      </w:pPr>
      <w:r>
        <w:rPr>
          <w:rFonts w:ascii="宋体" w:hAnsi="宋体" w:hint="eastAsia"/>
          <w:sz w:val="24"/>
          <w:szCs w:val="24"/>
        </w:rPr>
        <w:t>C为该笔份额</w:t>
      </w:r>
      <w:r w:rsidR="00FA115E">
        <w:rPr>
          <w:rFonts w:ascii="宋体" w:hAnsi="宋体" w:hint="eastAsia"/>
          <w:sz w:val="24"/>
          <w:szCs w:val="24"/>
        </w:rPr>
        <w:t>认购/申</w:t>
      </w:r>
      <w:r>
        <w:rPr>
          <w:rFonts w:ascii="宋体" w:hAnsi="宋体" w:hint="eastAsia"/>
          <w:sz w:val="24"/>
          <w:szCs w:val="24"/>
        </w:rPr>
        <w:t>购/转换转入日的基金份额净值，</w:t>
      </w:r>
      <w:r>
        <w:rPr>
          <w:rFonts w:hint="eastAsia"/>
          <w:bCs/>
          <w:sz w:val="24"/>
          <w14:ligatures w14:val="standardContextual"/>
        </w:rPr>
        <w:t>其中</w:t>
      </w:r>
      <w:r>
        <w:rPr>
          <w:bCs/>
          <w:sz w:val="24"/>
          <w14:ligatures w14:val="standardContextual"/>
        </w:rPr>
        <w:t>份额认购日的基金份额净值为</w:t>
      </w:r>
      <w:r>
        <w:rPr>
          <w:rFonts w:hint="eastAsia"/>
          <w:bCs/>
          <w:sz w:val="24"/>
          <w14:ligatures w14:val="standardContextual"/>
        </w:rPr>
        <w:t>1</w:t>
      </w:r>
      <w:r>
        <w:rPr>
          <w:bCs/>
          <w:sz w:val="24"/>
          <w14:ligatures w14:val="standardContextual"/>
        </w:rPr>
        <w:t>.00</w:t>
      </w:r>
      <w:r>
        <w:rPr>
          <w:bCs/>
          <w:sz w:val="24"/>
          <w14:ligatures w14:val="standardContextual"/>
        </w:rPr>
        <w:t>元</w:t>
      </w:r>
      <w:r>
        <w:rPr>
          <w:rFonts w:ascii="宋体" w:hAnsi="宋体" w:hint="eastAsia"/>
          <w:sz w:val="24"/>
          <w:szCs w:val="24"/>
        </w:rPr>
        <w:t>；</w:t>
      </w:r>
    </w:p>
    <w:p w14:paraId="067B87C8" w14:textId="270A67EB" w:rsidR="00E3116F" w:rsidRDefault="00821F7A">
      <w:pPr>
        <w:adjustRightInd w:val="0"/>
        <w:snapToGrid w:val="0"/>
        <w:spacing w:line="360" w:lineRule="auto"/>
        <w:ind w:left="60" w:firstLine="420"/>
        <w:rPr>
          <w:rFonts w:ascii="宋体" w:hAnsi="宋体"/>
          <w:sz w:val="24"/>
          <w:szCs w:val="24"/>
        </w:rPr>
      </w:pPr>
      <w:r>
        <w:rPr>
          <w:rFonts w:ascii="宋体" w:hAnsi="宋体" w:hint="eastAsia"/>
          <w:sz w:val="24"/>
          <w:szCs w:val="24"/>
        </w:rPr>
        <w:t>D</w:t>
      </w:r>
      <w:r w:rsidR="004F1EDF" w:rsidRPr="004F1EDF">
        <w:rPr>
          <w:rFonts w:ascii="宋体" w:hAnsi="宋体" w:hint="eastAsia"/>
          <w:sz w:val="24"/>
          <w:szCs w:val="24"/>
        </w:rPr>
        <w:t>为基金合同生效日（针对募集期内认购的基金份额）或该笔份额申购、转入确认日与赎回、转出确认日或基金合同终止情形发生日下一工作日的间隔天数</w:t>
      </w:r>
      <w:r>
        <w:rPr>
          <w:rFonts w:ascii="宋体" w:hAnsi="宋体" w:hint="eastAsia"/>
          <w:sz w:val="24"/>
          <w:szCs w:val="24"/>
        </w:rPr>
        <w:t>；</w:t>
      </w:r>
    </w:p>
    <w:p w14:paraId="1D44B180" w14:textId="77777777" w:rsidR="00E3116F" w:rsidRDefault="00821F7A">
      <w:pPr>
        <w:adjustRightInd w:val="0"/>
        <w:snapToGrid w:val="0"/>
        <w:spacing w:line="360" w:lineRule="auto"/>
        <w:ind w:left="60" w:firstLine="420"/>
        <w:rPr>
          <w:bCs/>
          <w:sz w:val="24"/>
          <w14:ligatures w14:val="standardContextual"/>
        </w:rPr>
      </w:pPr>
      <w:r>
        <w:rPr>
          <w:rFonts w:hint="eastAsia"/>
          <w:bCs/>
          <w:sz w:val="24"/>
          <w14:ligatures w14:val="standardContextual"/>
        </w:rPr>
        <w:lastRenderedPageBreak/>
        <w:t>F</w:t>
      </w:r>
      <w:r>
        <w:rPr>
          <w:rFonts w:hint="eastAsia"/>
          <w:bCs/>
          <w:sz w:val="24"/>
          <w14:ligatures w14:val="standardContextual"/>
        </w:rPr>
        <w:t>为该笔基金份额的份额数；</w:t>
      </w:r>
    </w:p>
    <w:p w14:paraId="03D907CA" w14:textId="77777777" w:rsidR="00E3116F" w:rsidRDefault="00821F7A">
      <w:pPr>
        <w:spacing w:line="360" w:lineRule="auto"/>
        <w:ind w:firstLineChars="200" w:firstLine="480"/>
        <w:rPr>
          <w:bCs/>
          <w:sz w:val="24"/>
          <w14:ligatures w14:val="standardContextual"/>
        </w:rPr>
      </w:pPr>
      <w:r>
        <w:rPr>
          <w:rFonts w:ascii="Cambria Math" w:hAnsi="Cambria Math" w:cs="Cambria Math"/>
          <w:bCs/>
          <w:sz w:val="24"/>
          <w14:ligatures w14:val="standardContextual"/>
        </w:rPr>
        <w:t>𝑀𝑐</w:t>
      </w:r>
      <w:r>
        <w:rPr>
          <w:rFonts w:hint="eastAsia"/>
          <w:bCs/>
          <w:sz w:val="24"/>
          <w14:ligatures w14:val="standardContextual"/>
        </w:rPr>
        <w:t>为该笔基金份额持有期内累计计算的超额管理费。</w:t>
      </w:r>
    </w:p>
    <w:p w14:paraId="47AEBDDF" w14:textId="77777777" w:rsidR="00E3116F" w:rsidRDefault="00821F7A">
      <w:pPr>
        <w:adjustRightInd w:val="0"/>
        <w:snapToGrid w:val="0"/>
        <w:spacing w:line="360" w:lineRule="auto"/>
        <w:ind w:firstLineChars="200" w:firstLine="480"/>
        <w:rPr>
          <w:rFonts w:ascii="宋体" w:hAnsi="宋体" w:cs="Arial"/>
          <w:sz w:val="24"/>
        </w:rPr>
      </w:pPr>
      <w:r>
        <w:rPr>
          <w:rFonts w:hint="eastAsia"/>
          <w:bCs/>
          <w:sz w:val="24"/>
        </w:rPr>
        <w:t>在不违反法律法规、基金合同的约定的情况下，基金管理人可根据基金实际运作情况和市场环境变化，经履行适当程序后，对本基金的管理费（含固定管理费、或有管理费和超额管理费）计提标准或收取方式进行调整。</w:t>
      </w:r>
    </w:p>
    <w:p w14:paraId="475F4D9C"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（二）基金托管费的计提比例和计提方法</w:t>
      </w:r>
    </w:p>
    <w:p w14:paraId="2E312427"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本基金的托管费按前一日基金资产净值的0.2</w:t>
      </w:r>
      <w:r>
        <w:rPr>
          <w:rFonts w:ascii="宋体" w:hAnsi="宋体" w:cs="Arial"/>
          <w:sz w:val="24"/>
        </w:rPr>
        <w:t>0</w:t>
      </w:r>
      <w:r>
        <w:rPr>
          <w:rFonts w:ascii="宋体" w:hAnsi="宋体" w:cs="Arial" w:hint="eastAsia"/>
          <w:sz w:val="24"/>
        </w:rPr>
        <w:t>%年费率计提。托管费的计算方法如下：</w:t>
      </w:r>
    </w:p>
    <w:p w14:paraId="2E44B4C6"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H＝E×0.2</w:t>
      </w:r>
      <w:r>
        <w:rPr>
          <w:rFonts w:ascii="宋体" w:hAnsi="宋体" w:cs="Arial"/>
          <w:sz w:val="24"/>
        </w:rPr>
        <w:t>0</w:t>
      </w:r>
      <w:r>
        <w:rPr>
          <w:rFonts w:ascii="宋体" w:hAnsi="宋体" w:cs="Arial" w:hint="eastAsia"/>
          <w:sz w:val="24"/>
        </w:rPr>
        <w:t>%÷当年天数</w:t>
      </w:r>
    </w:p>
    <w:p w14:paraId="1CD7EA25"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H为每日应计提的基金托管费</w:t>
      </w:r>
    </w:p>
    <w:p w14:paraId="223E5B98"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E为前一日的基金资产净值</w:t>
      </w:r>
    </w:p>
    <w:p w14:paraId="47F957BB" w14:textId="5A558537" w:rsidR="00B8141A" w:rsidRDefault="00B8141A" w:rsidP="00B8141A">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（三）销售服务费</w:t>
      </w:r>
      <w:r>
        <w:rPr>
          <w:rFonts w:ascii="宋体" w:hAnsi="宋体" w:cs="Arial" w:hint="eastAsia"/>
          <w:sz w:val="24"/>
        </w:rPr>
        <w:t>的计提比例和计提方法</w:t>
      </w:r>
    </w:p>
    <w:p w14:paraId="43A77D78" w14:textId="150BCC53" w:rsidR="00B8141A" w:rsidRDefault="00B8141A" w:rsidP="00B8141A">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本基金A类基金份额不收取销售服务费，C类基金份额的销售服务费按前一日C类基金份额资产净值的0</w:t>
      </w:r>
      <w:r>
        <w:rPr>
          <w:rFonts w:ascii="宋体" w:hAnsi="宋体"/>
          <w:bCs/>
          <w:sz w:val="24"/>
          <w:szCs w:val="24"/>
        </w:rPr>
        <w:t>.</w:t>
      </w:r>
      <w:r w:rsidR="00D153E2">
        <w:rPr>
          <w:rFonts w:ascii="宋体" w:hAnsi="宋体"/>
          <w:bCs/>
          <w:sz w:val="24"/>
          <w:szCs w:val="24"/>
        </w:rPr>
        <w:t>40</w:t>
      </w:r>
      <w:r>
        <w:rPr>
          <w:rFonts w:ascii="宋体" w:hAnsi="宋体" w:hint="eastAsia"/>
          <w:bCs/>
          <w:sz w:val="24"/>
          <w:szCs w:val="24"/>
        </w:rPr>
        <w:t>%年费率计提。计算方法如下：</w:t>
      </w:r>
    </w:p>
    <w:p w14:paraId="0B854AF3" w14:textId="1F044D67" w:rsidR="00B8141A" w:rsidRDefault="00B8141A" w:rsidP="00B8141A">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H＝E×0</w:t>
      </w:r>
      <w:r>
        <w:rPr>
          <w:rFonts w:ascii="宋体" w:hAnsi="宋体"/>
          <w:bCs/>
          <w:sz w:val="24"/>
          <w:szCs w:val="24"/>
        </w:rPr>
        <w:t>.</w:t>
      </w:r>
      <w:r w:rsidR="00D153E2">
        <w:rPr>
          <w:rFonts w:ascii="宋体" w:hAnsi="宋体"/>
          <w:bCs/>
          <w:sz w:val="24"/>
          <w:szCs w:val="24"/>
        </w:rPr>
        <w:t>40</w:t>
      </w:r>
      <w:r>
        <w:rPr>
          <w:rFonts w:ascii="宋体" w:hAnsi="宋体" w:hint="eastAsia"/>
          <w:bCs/>
          <w:sz w:val="24"/>
          <w:szCs w:val="24"/>
        </w:rPr>
        <w:t>%÷当年天数</w:t>
      </w:r>
    </w:p>
    <w:p w14:paraId="13990467" w14:textId="77777777" w:rsidR="00B8141A" w:rsidRDefault="00B8141A" w:rsidP="00B8141A">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H为C类基金份额每日应计提的销售服务费</w:t>
      </w:r>
    </w:p>
    <w:p w14:paraId="78D37DA1" w14:textId="77777777" w:rsidR="00B8141A" w:rsidRDefault="00B8141A" w:rsidP="00B8141A">
      <w:pPr>
        <w:adjustRightInd w:val="0"/>
        <w:snapToGrid w:val="0"/>
        <w:spacing w:line="360" w:lineRule="auto"/>
        <w:ind w:firstLineChars="200" w:firstLine="480"/>
        <w:outlineLvl w:val="0"/>
        <w:rPr>
          <w:rFonts w:ascii="宋体" w:hAnsi="宋体"/>
          <w:bCs/>
          <w:sz w:val="24"/>
          <w:szCs w:val="24"/>
        </w:rPr>
      </w:pPr>
      <w:r>
        <w:rPr>
          <w:rFonts w:ascii="宋体" w:hAnsi="宋体" w:hint="eastAsia"/>
          <w:bCs/>
          <w:sz w:val="24"/>
          <w:szCs w:val="24"/>
        </w:rPr>
        <w:t>E为C类基金份额前一日基金资产净值</w:t>
      </w:r>
    </w:p>
    <w:p w14:paraId="3F988655" w14:textId="08DC12EA" w:rsidR="00E3116F" w:rsidRDefault="00821F7A" w:rsidP="009F5CCA">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w:t>
      </w:r>
      <w:r w:rsidR="00B8141A">
        <w:rPr>
          <w:rFonts w:ascii="宋体" w:hAnsi="宋体" w:cs="Arial" w:hint="eastAsia"/>
          <w:sz w:val="24"/>
        </w:rPr>
        <w:t>四</w:t>
      </w:r>
      <w:r>
        <w:rPr>
          <w:rFonts w:ascii="宋体" w:hAnsi="宋体" w:cs="Arial" w:hint="eastAsia"/>
          <w:sz w:val="24"/>
        </w:rPr>
        <w:t>）</w:t>
      </w:r>
      <w:r w:rsidR="009F5CCA" w:rsidRPr="009F5CCA">
        <w:rPr>
          <w:rFonts w:ascii="宋体" w:hAnsi="宋体" w:cs="Arial" w:hint="eastAsia"/>
          <w:sz w:val="24"/>
        </w:rPr>
        <w:t>基金合同生效后与基金相关的信息披露费用</w:t>
      </w:r>
      <w:r w:rsidR="009F5CCA">
        <w:rPr>
          <w:rFonts w:ascii="宋体" w:hAnsi="宋体" w:cs="Arial" w:hint="eastAsia"/>
          <w:sz w:val="24"/>
        </w:rPr>
        <w:t>、</w:t>
      </w:r>
      <w:r w:rsidR="009F5CCA" w:rsidRPr="009F5CCA">
        <w:rPr>
          <w:rFonts w:ascii="宋体" w:hAnsi="宋体" w:cs="Arial" w:hint="eastAsia"/>
          <w:sz w:val="24"/>
        </w:rPr>
        <w:t>基金合同生效后与基金相关的会计师费、审计费、律师费、诉讼费和仲裁费等费用</w:t>
      </w:r>
      <w:r w:rsidR="009F5CCA">
        <w:rPr>
          <w:rFonts w:ascii="宋体" w:hAnsi="宋体" w:cs="Arial" w:hint="eastAsia"/>
          <w:sz w:val="24"/>
        </w:rPr>
        <w:t>、</w:t>
      </w:r>
      <w:r w:rsidR="009F5CCA" w:rsidRPr="009F5CCA">
        <w:rPr>
          <w:rFonts w:ascii="宋体" w:hAnsi="宋体" w:cs="Arial" w:hint="eastAsia"/>
          <w:sz w:val="24"/>
        </w:rPr>
        <w:t>基金份额持有人大会费用</w:t>
      </w:r>
      <w:r w:rsidR="009F5CCA">
        <w:rPr>
          <w:rFonts w:ascii="宋体" w:hAnsi="宋体" w:cs="Arial" w:hint="eastAsia"/>
          <w:sz w:val="24"/>
        </w:rPr>
        <w:t>、</w:t>
      </w:r>
      <w:r w:rsidR="009F5CCA" w:rsidRPr="009F5CCA">
        <w:rPr>
          <w:rFonts w:ascii="宋体" w:hAnsi="宋体" w:cs="Arial" w:hint="eastAsia"/>
          <w:sz w:val="24"/>
        </w:rPr>
        <w:t>因基金的证券、期货、期权交易或结算而产生的费用（包括但不限于在境外市场开户、交易、清算、登记等实际发生的各项费用）</w:t>
      </w:r>
      <w:r w:rsidR="009F5CCA">
        <w:rPr>
          <w:rFonts w:ascii="宋体" w:hAnsi="宋体" w:cs="Arial" w:hint="eastAsia"/>
          <w:sz w:val="24"/>
        </w:rPr>
        <w:t>、</w:t>
      </w:r>
      <w:r w:rsidR="009F5CCA" w:rsidRPr="009F5CCA">
        <w:rPr>
          <w:rFonts w:ascii="宋体" w:hAnsi="宋体" w:cs="Arial" w:hint="eastAsia"/>
          <w:sz w:val="24"/>
        </w:rPr>
        <w:t>基金的银行汇划费用和外汇兑换交易的相关费用</w:t>
      </w:r>
      <w:r w:rsidR="009F5CCA">
        <w:rPr>
          <w:rFonts w:ascii="宋体" w:hAnsi="宋体" w:cs="Arial" w:hint="eastAsia"/>
          <w:sz w:val="24"/>
        </w:rPr>
        <w:t>、</w:t>
      </w:r>
      <w:r w:rsidR="009F5CCA" w:rsidRPr="009F5CCA">
        <w:rPr>
          <w:rFonts w:ascii="宋体" w:hAnsi="宋体" w:cs="Arial" w:hint="eastAsia"/>
          <w:sz w:val="24"/>
        </w:rPr>
        <w:t>基金相关账户开户和维护费用</w:t>
      </w:r>
      <w:r w:rsidR="009F5CCA">
        <w:rPr>
          <w:rFonts w:ascii="宋体" w:hAnsi="宋体" w:cs="Arial" w:hint="eastAsia"/>
          <w:sz w:val="24"/>
        </w:rPr>
        <w:t>、</w:t>
      </w:r>
      <w:r w:rsidR="009F5CCA" w:rsidRPr="009F5CCA">
        <w:rPr>
          <w:rFonts w:ascii="宋体" w:hAnsi="宋体" w:cs="Arial" w:hint="eastAsia"/>
          <w:sz w:val="24"/>
        </w:rPr>
        <w:t>因投资港股通标的股票而产生的各项合理费用</w:t>
      </w:r>
      <w:r w:rsidR="009F5CCA">
        <w:rPr>
          <w:rFonts w:ascii="宋体" w:hAnsi="宋体" w:cs="Arial" w:hint="eastAsia"/>
          <w:sz w:val="24"/>
        </w:rPr>
        <w:t>、</w:t>
      </w:r>
      <w:r w:rsidR="009F5CCA" w:rsidRPr="009F5CCA">
        <w:rPr>
          <w:rFonts w:ascii="宋体" w:hAnsi="宋体" w:cs="Arial" w:hint="eastAsia"/>
          <w:sz w:val="24"/>
        </w:rPr>
        <w:t>为应付赎回和交易清算而进行临时借款所发生的费用</w:t>
      </w:r>
      <w:r w:rsidR="009F5CCA">
        <w:rPr>
          <w:rFonts w:ascii="宋体" w:hAnsi="宋体" w:cs="Arial" w:hint="eastAsia"/>
          <w:sz w:val="24"/>
        </w:rPr>
        <w:t>、</w:t>
      </w:r>
      <w:r w:rsidR="009F5CCA" w:rsidRPr="009F5CCA">
        <w:rPr>
          <w:rFonts w:ascii="宋体" w:hAnsi="宋体" w:cs="Arial" w:hint="eastAsia"/>
          <w:sz w:val="24"/>
        </w:rPr>
        <w:t>基金依照有关法律法规应当缴纳的，购买或处置证券有关的任何税收、征费、关税、印花税及预扣提税（以及与前述各项有关的任何利息及费用）（简称“税收”）以及相关手续费、汇款费、基金的税务代理费、顾问费等</w:t>
      </w:r>
      <w:r w:rsidR="009F5CCA">
        <w:rPr>
          <w:rFonts w:ascii="宋体" w:hAnsi="宋体" w:cs="Arial" w:hint="eastAsia"/>
          <w:sz w:val="24"/>
        </w:rPr>
        <w:t>、</w:t>
      </w:r>
      <w:r w:rsidR="009F5CCA" w:rsidRPr="009F5CCA">
        <w:rPr>
          <w:rFonts w:ascii="宋体" w:hAnsi="宋体" w:cs="Arial" w:hint="eastAsia"/>
          <w:sz w:val="24"/>
        </w:rPr>
        <w:t>除去基金管理人和基金托管人自身原因而导致的更换基金管理人、更换基金托管人，及基金资产由原任基金托管人转移至新任基金托管人，以及由于境外托管人更换，所导致的基金资产转移所引起的费用</w:t>
      </w:r>
      <w:r>
        <w:rPr>
          <w:rFonts w:ascii="宋体" w:hAnsi="宋体" w:cs="Arial" w:hint="eastAsia"/>
          <w:bCs/>
          <w:sz w:val="24"/>
        </w:rPr>
        <w:t>等</w:t>
      </w:r>
      <w:r>
        <w:rPr>
          <w:rFonts w:ascii="宋体" w:hAnsi="宋体" w:cs="Arial" w:hint="eastAsia"/>
          <w:sz w:val="24"/>
        </w:rPr>
        <w:t>根据有关法律法规、《基金合同》及相应协议的规定，列入当期基金费用。</w:t>
      </w:r>
    </w:p>
    <w:p w14:paraId="59663E0C" w14:textId="7EB6F1C4" w:rsidR="00E3116F" w:rsidRDefault="00821F7A">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lastRenderedPageBreak/>
        <w:t>（</w:t>
      </w:r>
      <w:r w:rsidR="00B8141A">
        <w:rPr>
          <w:rFonts w:ascii="宋体" w:hAnsi="宋体" w:cs="Arial" w:hint="eastAsia"/>
          <w:sz w:val="24"/>
        </w:rPr>
        <w:t>五</w:t>
      </w:r>
      <w:r>
        <w:rPr>
          <w:rFonts w:ascii="宋体" w:hAnsi="宋体" w:cs="Arial" w:hint="eastAsia"/>
          <w:sz w:val="24"/>
        </w:rPr>
        <w:t>）不列入基金费用的项目</w:t>
      </w:r>
    </w:p>
    <w:p w14:paraId="42674407"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《基金合同》生效前的</w:t>
      </w:r>
      <w:r>
        <w:rPr>
          <w:rFonts w:ascii="黑体" w:hAnsi="黑体"/>
          <w:bCs/>
          <w:sz w:val="24"/>
          <w:szCs w:val="24"/>
        </w:rPr>
        <w:t>相关费用</w:t>
      </w:r>
      <w:r>
        <w:rPr>
          <w:rFonts w:ascii="宋体" w:hAnsi="宋体" w:cs="Arial" w:hint="eastAsia"/>
          <w:sz w:val="24"/>
        </w:rPr>
        <w:t>；基金管理人和基金托管人因未履行或未完全履行义务导致的费用支出或基金财产的损失，处理与基金运作无关的事项发生的费用以及其他根据相关法律法规及中国证监会的有关规定不得列入基金费用的项目不列入基金费用。</w:t>
      </w:r>
    </w:p>
    <w:p w14:paraId="0EA98914" w14:textId="4B65EF8D" w:rsidR="00E3116F" w:rsidRDefault="00821F7A">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w:t>
      </w:r>
      <w:r w:rsidR="00B8141A">
        <w:rPr>
          <w:rFonts w:ascii="宋体" w:hAnsi="宋体" w:cs="Arial" w:hint="eastAsia"/>
          <w:sz w:val="24"/>
        </w:rPr>
        <w:t>六</w:t>
      </w:r>
      <w:r>
        <w:rPr>
          <w:rFonts w:ascii="宋体" w:hAnsi="宋体" w:cs="Arial" w:hint="eastAsia"/>
          <w:sz w:val="24"/>
        </w:rPr>
        <w:t>）基金管理费、基金托管费和</w:t>
      </w:r>
      <w:r>
        <w:rPr>
          <w:rFonts w:ascii="宋体" w:hAnsi="宋体" w:cs="Arial"/>
          <w:sz w:val="24"/>
        </w:rPr>
        <w:t>销售服务费</w:t>
      </w:r>
      <w:r>
        <w:rPr>
          <w:rFonts w:ascii="宋体" w:hAnsi="宋体" w:cs="Arial" w:hint="eastAsia"/>
          <w:sz w:val="24"/>
        </w:rPr>
        <w:t>的复核程序、支付方式和时间</w:t>
      </w:r>
    </w:p>
    <w:p w14:paraId="18FC7126"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1.复核程序</w:t>
      </w:r>
    </w:p>
    <w:p w14:paraId="278D9114"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基金托管人对基金管理人计提的基金管理费、基金托管费和</w:t>
      </w:r>
      <w:r>
        <w:rPr>
          <w:rFonts w:ascii="宋体" w:hAnsi="宋体" w:cs="Arial"/>
          <w:sz w:val="24"/>
        </w:rPr>
        <w:t>销售服务费</w:t>
      </w:r>
      <w:r>
        <w:rPr>
          <w:rFonts w:ascii="宋体" w:hAnsi="宋体" w:cs="Arial" w:hint="eastAsia"/>
          <w:sz w:val="24"/>
        </w:rPr>
        <w:t>等，根据本托管协议和《基金合同》的有关规定进行复核。</w:t>
      </w:r>
    </w:p>
    <w:p w14:paraId="7D0370AC"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2.支付方式和时间</w:t>
      </w:r>
    </w:p>
    <w:p w14:paraId="08067079" w14:textId="031A30BB"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固定管理费、基金托管费每日计提，逐日累计至每月月末，按月支付。由基金托管人根据与基金管理人核对一致的财务数据，自动在月初5个工作日内、按照指定的账户路径进行资金支付，基金管理人无需再出具资金划拨指令。若遇法定节假日、休息日或不可抗力等致使无法按时支付的，顺延至最近可支付日支付。费用自动扣划后，基金管理人应进行核对，如发现数据不符，及时联系基金托管人协商解决。</w:t>
      </w:r>
    </w:p>
    <w:p w14:paraId="28FF8514" w14:textId="302034AB" w:rsidR="00E3116F" w:rsidRDefault="00821F7A">
      <w:pPr>
        <w:adjustRightInd w:val="0"/>
        <w:snapToGrid w:val="0"/>
        <w:spacing w:line="360" w:lineRule="auto"/>
        <w:ind w:firstLineChars="200" w:firstLine="480"/>
        <w:rPr>
          <w:rFonts w:ascii="宋体" w:hAnsi="宋体"/>
          <w:sz w:val="24"/>
        </w:rPr>
      </w:pPr>
      <w:r>
        <w:rPr>
          <w:rFonts w:hint="eastAsia"/>
          <w:bCs/>
          <w:sz w:val="24"/>
          <w14:ligatures w14:val="standardContextual"/>
        </w:rPr>
        <w:t>因涉及相关数据，基金管理人的或有管理费和超额管理费的计算和复核工作由基金管理人完成，相关信息以注册登记机构计算结果为准，基金托管人不承担复核责任。对于已经确认为管理人收入的或有管理费和超额管理费，基金托管人根据基金管理人指令支付给基金管理人，</w:t>
      </w:r>
      <w:r>
        <w:rPr>
          <w:rFonts w:ascii="宋体" w:hAnsi="宋体" w:hint="eastAsia"/>
          <w:sz w:val="24"/>
        </w:rPr>
        <w:t>若遇法定节假日、休息日或不可抗力等致使无法按时支付的，顺延至最近可支付日支付。</w:t>
      </w:r>
    </w:p>
    <w:p w14:paraId="5E91635A" w14:textId="75BDC3DB" w:rsidR="009C6730" w:rsidRPr="00F13072" w:rsidRDefault="009C6730" w:rsidP="009C6730">
      <w:pPr>
        <w:adjustRightInd w:val="0"/>
        <w:snapToGrid w:val="0"/>
        <w:spacing w:line="360" w:lineRule="auto"/>
        <w:ind w:firstLineChars="200" w:firstLine="480"/>
        <w:rPr>
          <w:bCs/>
          <w:sz w:val="24"/>
        </w:rPr>
      </w:pPr>
      <w:r>
        <w:rPr>
          <w:rFonts w:hint="eastAsia"/>
          <w:bCs/>
          <w:sz w:val="24"/>
        </w:rPr>
        <w:t>如</w:t>
      </w:r>
      <w:r w:rsidRPr="00E0033C">
        <w:rPr>
          <w:rFonts w:hint="eastAsia"/>
          <w:bCs/>
          <w:sz w:val="24"/>
        </w:rPr>
        <w:t>果委托境外投资顾问，基金管理费</w:t>
      </w:r>
      <w:r>
        <w:rPr>
          <w:rFonts w:hint="eastAsia"/>
          <w:bCs/>
          <w:sz w:val="24"/>
        </w:rPr>
        <w:t>、</w:t>
      </w:r>
      <w:r w:rsidRPr="00E0033C">
        <w:rPr>
          <w:rFonts w:ascii="宋体" w:hAnsi="宋体" w:hint="eastAsia"/>
          <w:bCs/>
          <w:sz w:val="24"/>
          <w:szCs w:val="24"/>
        </w:rPr>
        <w:t>基金托管费</w:t>
      </w:r>
      <w:r w:rsidRPr="00E0033C">
        <w:rPr>
          <w:rFonts w:hint="eastAsia"/>
          <w:bCs/>
          <w:sz w:val="24"/>
        </w:rPr>
        <w:t>中的一部分可以作为境外投资顾问的费用，具体</w:t>
      </w:r>
      <w:r w:rsidR="00270C6B">
        <w:rPr>
          <w:rFonts w:hint="eastAsia"/>
          <w:bCs/>
          <w:sz w:val="24"/>
        </w:rPr>
        <w:t>计算</w:t>
      </w:r>
      <w:r w:rsidRPr="00E0033C">
        <w:rPr>
          <w:rFonts w:hint="eastAsia"/>
          <w:bCs/>
          <w:sz w:val="24"/>
        </w:rPr>
        <w:t>方式由基金管理人与境外投资顾问在有关协议中进行约定。</w:t>
      </w:r>
    </w:p>
    <w:p w14:paraId="5F9A6DE2" w14:textId="77777777" w:rsidR="00D153E2" w:rsidRDefault="00D153E2" w:rsidP="00D153E2">
      <w:pPr>
        <w:adjustRightInd w:val="0"/>
        <w:snapToGrid w:val="0"/>
        <w:spacing w:line="360" w:lineRule="auto"/>
        <w:ind w:firstLineChars="200" w:firstLine="480"/>
        <w:rPr>
          <w:rFonts w:ascii="宋体" w:hAnsi="宋体" w:cs="Arial"/>
          <w:sz w:val="24"/>
        </w:rPr>
      </w:pPr>
      <w:r>
        <w:rPr>
          <w:rFonts w:ascii="宋体" w:hAnsi="宋体" w:cs="Arial" w:hint="eastAsia"/>
          <w:sz w:val="24"/>
        </w:rPr>
        <w:t>销售服务费每日计提。</w:t>
      </w:r>
    </w:p>
    <w:p w14:paraId="427655F6" w14:textId="16F7BE6F" w:rsidR="00D153E2" w:rsidRDefault="00D153E2" w:rsidP="00D153E2">
      <w:pPr>
        <w:adjustRightInd w:val="0"/>
        <w:snapToGrid w:val="0"/>
        <w:spacing w:line="360" w:lineRule="auto"/>
        <w:ind w:firstLineChars="200" w:firstLine="480"/>
        <w:rPr>
          <w:rFonts w:ascii="宋体" w:hAnsi="宋体" w:cs="Arial"/>
          <w:sz w:val="24"/>
        </w:rPr>
      </w:pPr>
      <w:r>
        <w:rPr>
          <w:rFonts w:ascii="宋体" w:hAnsi="宋体" w:cs="Arial" w:hint="eastAsia"/>
          <w:sz w:val="24"/>
        </w:rPr>
        <w:t>（1）基金管理人：</w:t>
      </w:r>
    </w:p>
    <w:p w14:paraId="50CC968F" w14:textId="351422EA" w:rsidR="00D153E2" w:rsidRDefault="00D153E2" w:rsidP="00D153E2">
      <w:pPr>
        <w:adjustRightInd w:val="0"/>
        <w:snapToGrid w:val="0"/>
        <w:spacing w:line="360" w:lineRule="auto"/>
        <w:ind w:firstLineChars="200" w:firstLine="480"/>
        <w:rPr>
          <w:rFonts w:ascii="宋体" w:hAnsi="宋体" w:cs="Arial"/>
          <w:sz w:val="24"/>
        </w:rPr>
      </w:pPr>
      <w:r>
        <w:rPr>
          <w:rFonts w:ascii="宋体" w:hAnsi="宋体" w:cs="Arial" w:hint="eastAsia"/>
          <w:sz w:val="24"/>
        </w:rPr>
        <w:t>对于C类基金份额</w:t>
      </w:r>
      <w:r w:rsidR="008E7644">
        <w:rPr>
          <w:rFonts w:ascii="宋体" w:hAnsi="宋体" w:cs="Arial" w:hint="eastAsia"/>
          <w:sz w:val="24"/>
        </w:rPr>
        <w:t>计提</w:t>
      </w:r>
      <w:r>
        <w:rPr>
          <w:rFonts w:ascii="宋体" w:hAnsi="宋体" w:cs="Arial" w:hint="eastAsia"/>
          <w:sz w:val="24"/>
        </w:rPr>
        <w:t>的销售服务费，在投资者赎回基金份额或基金合同终止时，随赎回款或清算款一并返还给投资者。</w:t>
      </w:r>
    </w:p>
    <w:p w14:paraId="53B8BDC5" w14:textId="77777777" w:rsidR="00D153E2" w:rsidRDefault="00D153E2" w:rsidP="00D153E2">
      <w:pPr>
        <w:adjustRightInd w:val="0"/>
        <w:snapToGrid w:val="0"/>
        <w:spacing w:line="360" w:lineRule="auto"/>
        <w:ind w:firstLineChars="200" w:firstLine="480"/>
        <w:rPr>
          <w:rFonts w:ascii="宋体" w:hAnsi="宋体" w:cs="Arial"/>
          <w:sz w:val="24"/>
        </w:rPr>
      </w:pPr>
      <w:r>
        <w:rPr>
          <w:rFonts w:ascii="宋体" w:hAnsi="宋体" w:cs="Arial" w:hint="eastAsia"/>
          <w:sz w:val="24"/>
        </w:rPr>
        <w:t>若遇法定节假日、休息日或不可抗力等致使无法按时支付的，顺延至最近可支付日支付。</w:t>
      </w:r>
    </w:p>
    <w:p w14:paraId="715515E4" w14:textId="015CA7A9" w:rsidR="00D153E2" w:rsidRDefault="00D153E2" w:rsidP="00D153E2">
      <w:pPr>
        <w:adjustRightInd w:val="0"/>
        <w:snapToGrid w:val="0"/>
        <w:spacing w:line="360" w:lineRule="auto"/>
        <w:ind w:firstLineChars="200" w:firstLine="480"/>
        <w:rPr>
          <w:rFonts w:ascii="宋体" w:hAnsi="宋体" w:cs="Arial"/>
          <w:sz w:val="24"/>
        </w:rPr>
      </w:pPr>
      <w:r>
        <w:rPr>
          <w:rFonts w:ascii="宋体" w:hAnsi="宋体" w:cs="Arial" w:hint="eastAsia"/>
          <w:sz w:val="24"/>
        </w:rPr>
        <w:lastRenderedPageBreak/>
        <w:t>（2）</w:t>
      </w:r>
      <w:r w:rsidR="008E7644">
        <w:rPr>
          <w:rFonts w:ascii="宋体" w:hAnsi="宋体" w:cs="Arial" w:hint="eastAsia"/>
          <w:sz w:val="24"/>
        </w:rPr>
        <w:t>其他销售机构</w:t>
      </w:r>
      <w:r>
        <w:rPr>
          <w:rFonts w:ascii="宋体" w:hAnsi="宋体" w:cs="Arial" w:hint="eastAsia"/>
          <w:sz w:val="24"/>
        </w:rPr>
        <w:t>：</w:t>
      </w:r>
    </w:p>
    <w:p w14:paraId="6835B82C" w14:textId="55D9D646" w:rsidR="00D153E2" w:rsidRDefault="00D153E2" w:rsidP="00D153E2">
      <w:pPr>
        <w:adjustRightInd w:val="0"/>
        <w:snapToGrid w:val="0"/>
        <w:spacing w:line="360" w:lineRule="auto"/>
        <w:ind w:firstLineChars="200" w:firstLine="480"/>
        <w:rPr>
          <w:rFonts w:ascii="宋体" w:hAnsi="宋体" w:cs="Arial"/>
          <w:sz w:val="24"/>
        </w:rPr>
      </w:pPr>
      <w:r>
        <w:rPr>
          <w:rFonts w:ascii="宋体" w:hAnsi="宋体" w:cs="Arial" w:hint="eastAsia"/>
          <w:sz w:val="24"/>
        </w:rPr>
        <w:t>对于投资者持续持有期限未超过一年</w:t>
      </w:r>
      <w:r w:rsidR="0054623C" w:rsidRPr="0054623C">
        <w:rPr>
          <w:rFonts w:ascii="宋体" w:hAnsi="宋体" w:cs="Arial" w:hint="eastAsia"/>
          <w:sz w:val="24"/>
        </w:rPr>
        <w:t>（即365天，下同）</w:t>
      </w:r>
      <w:r>
        <w:rPr>
          <w:rFonts w:ascii="宋体" w:hAnsi="宋体" w:cs="Arial" w:hint="eastAsia"/>
          <w:sz w:val="24"/>
        </w:rPr>
        <w:t>的C类基金份额</w:t>
      </w:r>
      <w:r w:rsidR="008E7644">
        <w:rPr>
          <w:rFonts w:ascii="宋体" w:hAnsi="宋体" w:cs="Arial" w:hint="eastAsia"/>
          <w:sz w:val="24"/>
        </w:rPr>
        <w:t>计提</w:t>
      </w:r>
      <w:r>
        <w:rPr>
          <w:rFonts w:ascii="宋体" w:hAnsi="宋体" w:cs="Arial" w:hint="eastAsia"/>
          <w:sz w:val="24"/>
        </w:rPr>
        <w:t>的销售服务费，</w:t>
      </w:r>
      <w:r>
        <w:rPr>
          <w:rFonts w:ascii="宋体" w:hAnsi="宋体" w:hint="eastAsia"/>
          <w:bCs/>
          <w:sz w:val="24"/>
        </w:rPr>
        <w:t>逐日累计至每月月末，按月支付。</w:t>
      </w:r>
      <w:r>
        <w:rPr>
          <w:rFonts w:ascii="宋体" w:hAnsi="宋体" w:cs="Arial" w:hint="eastAsia"/>
          <w:sz w:val="24"/>
        </w:rPr>
        <w:t>由基金托管人根据与基金管理人核对一致的财务数据，自动在月初5个工作日内、按照指定的账户路径进行资金支付，基金管理人无需再出具资金划拨指令。费用自动扣划后，基金管理人应进行核对，如发现数据不符，及时联系基金托管人协商解决。</w:t>
      </w:r>
    </w:p>
    <w:p w14:paraId="6FE762FF" w14:textId="37CB5E2A" w:rsidR="00D153E2" w:rsidRDefault="00D153E2" w:rsidP="00D153E2">
      <w:pPr>
        <w:adjustRightInd w:val="0"/>
        <w:snapToGrid w:val="0"/>
        <w:spacing w:line="360" w:lineRule="auto"/>
        <w:ind w:firstLineChars="200" w:firstLine="480"/>
        <w:rPr>
          <w:rFonts w:ascii="宋体" w:hAnsi="宋体" w:cs="Arial"/>
          <w:sz w:val="24"/>
        </w:rPr>
      </w:pPr>
      <w:r>
        <w:rPr>
          <w:rFonts w:ascii="宋体" w:hAnsi="宋体" w:cs="Arial" w:hint="eastAsia"/>
          <w:sz w:val="24"/>
        </w:rPr>
        <w:t>对于持续持有期限超过一年的C类基金份额继续</w:t>
      </w:r>
      <w:r w:rsidR="008E7644">
        <w:rPr>
          <w:rFonts w:ascii="宋体" w:hAnsi="宋体" w:cs="Arial" w:hint="eastAsia"/>
          <w:sz w:val="24"/>
        </w:rPr>
        <w:t>计提</w:t>
      </w:r>
      <w:r>
        <w:rPr>
          <w:rFonts w:ascii="宋体" w:hAnsi="宋体" w:cs="Arial" w:hint="eastAsia"/>
          <w:sz w:val="24"/>
        </w:rPr>
        <w:t>的销售服务费，在投资者赎回基金份额或基金合同终止时，随赎回款或清算款一并返还给投资者。</w:t>
      </w:r>
    </w:p>
    <w:p w14:paraId="1ACDC9E0" w14:textId="77777777" w:rsidR="00D153E2" w:rsidRDefault="00D153E2" w:rsidP="00D153E2">
      <w:pPr>
        <w:adjustRightInd w:val="0"/>
        <w:snapToGrid w:val="0"/>
        <w:spacing w:line="360" w:lineRule="auto"/>
        <w:ind w:firstLineChars="200" w:firstLine="480"/>
        <w:rPr>
          <w:rFonts w:ascii="宋体" w:hAnsi="宋体" w:cs="Arial"/>
          <w:sz w:val="24"/>
        </w:rPr>
      </w:pPr>
      <w:r>
        <w:rPr>
          <w:rFonts w:ascii="宋体" w:hAnsi="宋体" w:cs="Arial" w:hint="eastAsia"/>
          <w:sz w:val="24"/>
        </w:rPr>
        <w:t>若遇法定节假日、休息日或不可抗力等致使无法按时支付的，顺延至最近可支付日支付。</w:t>
      </w:r>
    </w:p>
    <w:p w14:paraId="1DECB251" w14:textId="77777777" w:rsidR="00D153E2" w:rsidRDefault="00D153E2" w:rsidP="00D153E2">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因涉及相关数据，基金管理人及代销机构的销售服务费的计算和复核工作由基金管理人完成，相关信息以注册登记机构计算结果为准，基金托管人不承担复核责任。</w:t>
      </w:r>
    </w:p>
    <w:p w14:paraId="7A157A57" w14:textId="1C81907D" w:rsidR="00E3116F" w:rsidRDefault="00821F7A" w:rsidP="00D153E2">
      <w:pPr>
        <w:adjustRightInd w:val="0"/>
        <w:snapToGrid w:val="0"/>
        <w:spacing w:line="360" w:lineRule="auto"/>
        <w:ind w:firstLineChars="200" w:firstLine="480"/>
        <w:rPr>
          <w:rFonts w:ascii="宋体" w:hAnsi="宋体" w:cs="Arial"/>
          <w:sz w:val="24"/>
        </w:rPr>
      </w:pPr>
      <w:r>
        <w:rPr>
          <w:rFonts w:ascii="宋体" w:hAnsi="宋体" w:cs="Arial" w:hint="eastAsia"/>
          <w:sz w:val="24"/>
        </w:rPr>
        <w:t>在首期支付固定基金管理费、</w:t>
      </w:r>
      <w:r>
        <w:rPr>
          <w:rFonts w:ascii="宋体" w:hAnsi="宋体" w:cs="Arial"/>
          <w:sz w:val="24"/>
        </w:rPr>
        <w:t>销售服务费</w:t>
      </w:r>
      <w:r>
        <w:rPr>
          <w:rFonts w:ascii="宋体" w:hAnsi="宋体" w:cs="Arial" w:hint="eastAsia"/>
          <w:sz w:val="24"/>
        </w:rPr>
        <w:t>前，基金管理人应向基金托管人出具正式函件指定基金管理费、</w:t>
      </w:r>
      <w:r>
        <w:rPr>
          <w:rFonts w:ascii="宋体" w:hAnsi="宋体" w:cs="Arial"/>
          <w:sz w:val="24"/>
        </w:rPr>
        <w:t>销售服务费</w:t>
      </w:r>
      <w:r>
        <w:rPr>
          <w:rFonts w:ascii="宋体" w:hAnsi="宋体" w:cs="Arial" w:hint="eastAsia"/>
          <w:sz w:val="24"/>
        </w:rPr>
        <w:t>的收款账户。基金管理人如需要变更此账户，应提前5个工作日向基金托管人出具书面的收款账户变更通知。</w:t>
      </w:r>
    </w:p>
    <w:p w14:paraId="25035823" w14:textId="5EA97B3D"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w:t>
      </w:r>
      <w:r w:rsidR="00AB7AAA">
        <w:rPr>
          <w:rFonts w:ascii="宋体" w:hAnsi="宋体" w:cs="Arial" w:hint="eastAsia"/>
          <w:sz w:val="24"/>
        </w:rPr>
        <w:t>七</w:t>
      </w:r>
      <w:r>
        <w:rPr>
          <w:rFonts w:ascii="宋体" w:hAnsi="宋体" w:cs="Arial" w:hint="eastAsia"/>
          <w:sz w:val="24"/>
        </w:rPr>
        <w:t>）违规处理方式</w:t>
      </w:r>
    </w:p>
    <w:p w14:paraId="0C590C5D"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0CDBAE95" w14:textId="702E4053" w:rsidR="00861798" w:rsidRPr="00F824BC" w:rsidRDefault="00821F7A" w:rsidP="00F824BC">
      <w:pPr>
        <w:adjustRightInd w:val="0"/>
        <w:snapToGrid w:val="0"/>
        <w:spacing w:line="360" w:lineRule="auto"/>
        <w:ind w:firstLineChars="200" w:firstLine="480"/>
        <w:rPr>
          <w:rFonts w:ascii="宋体" w:hAnsi="宋体" w:cs="Arial"/>
          <w:sz w:val="24"/>
        </w:rPr>
      </w:pPr>
      <w:r>
        <w:rPr>
          <w:rFonts w:ascii="宋体" w:hAnsi="宋体" w:cs="Arial" w:hint="eastAsia"/>
          <w:sz w:val="24"/>
        </w:rPr>
        <w:t>（</w:t>
      </w:r>
      <w:r w:rsidR="00AB7AAA">
        <w:rPr>
          <w:rFonts w:ascii="宋体" w:hAnsi="宋体" w:cs="Arial" w:hint="eastAsia"/>
          <w:sz w:val="24"/>
        </w:rPr>
        <w:t>八</w:t>
      </w:r>
      <w:r>
        <w:rPr>
          <w:rFonts w:ascii="宋体" w:hAnsi="宋体" w:cs="Arial" w:hint="eastAsia"/>
          <w:sz w:val="24"/>
        </w:rPr>
        <w:t>）</w:t>
      </w:r>
      <w:r w:rsidR="00861798" w:rsidRPr="00F824BC">
        <w:rPr>
          <w:rFonts w:ascii="宋体" w:hAnsi="宋体" w:cs="Arial" w:hint="eastAsia"/>
          <w:sz w:val="24"/>
        </w:rPr>
        <w:t>投资所在国家或地区对基金投资征收的相关税费，根据中国与该国家或地区签署的相关税收协定履行。</w:t>
      </w:r>
    </w:p>
    <w:p w14:paraId="62C53AE8" w14:textId="77777777" w:rsidR="00861798" w:rsidRPr="00F824BC" w:rsidRDefault="00861798" w:rsidP="00F824BC">
      <w:pPr>
        <w:adjustRightInd w:val="0"/>
        <w:snapToGrid w:val="0"/>
        <w:spacing w:line="360" w:lineRule="auto"/>
        <w:ind w:firstLineChars="200" w:firstLine="480"/>
        <w:rPr>
          <w:rFonts w:ascii="宋体" w:hAnsi="宋体" w:cs="Arial"/>
          <w:sz w:val="24"/>
        </w:rPr>
      </w:pPr>
      <w:r w:rsidRPr="00F824BC">
        <w:rPr>
          <w:rFonts w:ascii="宋体" w:hAnsi="宋体" w:cs="Arial" w:hint="eastAsia"/>
          <w:sz w:val="24"/>
        </w:rPr>
        <w:t>对于非代扣代缴的税收, 基金管理人应聘请税收顾问对相关投资市场的税收情况给予意见和建议。境外托管人根据基金管理人的指示具体协调基金在海外税务的申报、缴纳及索取税收返还等相关工作。</w:t>
      </w:r>
    </w:p>
    <w:p w14:paraId="4371B9A3" w14:textId="77777777" w:rsidR="00861798" w:rsidRPr="00F824BC" w:rsidRDefault="00861798" w:rsidP="00F824BC">
      <w:pPr>
        <w:adjustRightInd w:val="0"/>
        <w:snapToGrid w:val="0"/>
        <w:spacing w:line="360" w:lineRule="auto"/>
        <w:ind w:firstLineChars="200" w:firstLine="480"/>
        <w:rPr>
          <w:rFonts w:ascii="宋体" w:hAnsi="宋体" w:cs="Arial"/>
          <w:sz w:val="24"/>
        </w:rPr>
      </w:pPr>
      <w:r w:rsidRPr="00F824BC">
        <w:rPr>
          <w:rFonts w:ascii="宋体" w:hAnsi="宋体" w:cs="Arial" w:hint="eastAsia"/>
          <w:sz w:val="24"/>
        </w:rPr>
        <w:t>基金管理人对最终税务的处理的真实准确负责。</w:t>
      </w:r>
    </w:p>
    <w:p w14:paraId="43FFA00A" w14:textId="7CEB7681" w:rsidR="00861798" w:rsidRDefault="00861798" w:rsidP="00F824BC">
      <w:pPr>
        <w:adjustRightInd w:val="0"/>
        <w:snapToGrid w:val="0"/>
        <w:spacing w:line="360" w:lineRule="auto"/>
        <w:ind w:firstLineChars="200" w:firstLine="480"/>
        <w:rPr>
          <w:rFonts w:ascii="宋体" w:hAnsi="宋体" w:cs="Arial"/>
          <w:sz w:val="24"/>
        </w:rPr>
      </w:pPr>
      <w:r w:rsidRPr="00F824BC">
        <w:rPr>
          <w:rFonts w:ascii="宋体" w:hAnsi="宋体" w:cs="Arial" w:hint="eastAsia"/>
          <w:sz w:val="24"/>
        </w:rPr>
        <w:t>除因基金管理人或基金托管人疏忽、故意行为导致的基金在税收方面造成的损失外，基金管理人和基金托管人不承担责任。</w:t>
      </w:r>
    </w:p>
    <w:p w14:paraId="4F3BF080" w14:textId="4082690C" w:rsidR="00E3116F" w:rsidRDefault="00861798">
      <w:pPr>
        <w:adjustRightInd w:val="0"/>
        <w:snapToGrid w:val="0"/>
        <w:spacing w:line="360" w:lineRule="auto"/>
        <w:ind w:firstLineChars="200" w:firstLine="480"/>
        <w:rPr>
          <w:rFonts w:ascii="宋体" w:hAnsi="宋体" w:cs="Arial"/>
          <w:sz w:val="24"/>
        </w:rPr>
      </w:pPr>
      <w:r>
        <w:rPr>
          <w:rFonts w:ascii="宋体" w:hAnsi="宋体" w:cs="Arial" w:hint="eastAsia"/>
          <w:sz w:val="24"/>
        </w:rPr>
        <w:t>（九）</w:t>
      </w:r>
      <w:r w:rsidR="00821F7A">
        <w:rPr>
          <w:rFonts w:ascii="宋体" w:hAnsi="宋体" w:cs="Arial" w:hint="eastAsia"/>
          <w:sz w:val="24"/>
        </w:rPr>
        <w:t>实施侧袋机制期间的基金费用</w:t>
      </w:r>
    </w:p>
    <w:p w14:paraId="4986387D"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本基金实施侧袋机制的，与侧袋账户有关的费用可以从侧袋账户中列支，但应</w:t>
      </w:r>
      <w:r>
        <w:rPr>
          <w:rFonts w:ascii="宋体" w:hAnsi="宋体" w:cs="Arial" w:hint="eastAsia"/>
          <w:sz w:val="24"/>
        </w:rPr>
        <w:lastRenderedPageBreak/>
        <w:t>待侧袋账户资产变现后方可列支，有关费用可酌情收取或减免，但不得收取基金管理费</w:t>
      </w:r>
      <w:bookmarkStart w:id="107" w:name="_Hlk196392039"/>
      <w:r>
        <w:rPr>
          <w:rFonts w:hint="eastAsia"/>
          <w:bCs/>
          <w:sz w:val="24"/>
        </w:rPr>
        <w:t>（包括固定管理费、或有管理费和超额管理费）</w:t>
      </w:r>
      <w:bookmarkEnd w:id="107"/>
      <w:r>
        <w:rPr>
          <w:rFonts w:ascii="宋体" w:hAnsi="宋体" w:cs="Arial" w:hint="eastAsia"/>
          <w:sz w:val="24"/>
        </w:rPr>
        <w:t>，详见招募说明书的规定</w:t>
      </w:r>
      <w:r>
        <w:rPr>
          <w:rFonts w:ascii="宋体" w:hAnsi="宋体" w:hint="eastAsia"/>
          <w:bCs/>
          <w:sz w:val="24"/>
          <w:szCs w:val="24"/>
        </w:rPr>
        <w:t>或相关公告</w:t>
      </w:r>
      <w:r>
        <w:rPr>
          <w:rFonts w:ascii="宋体" w:hAnsi="宋体" w:cs="Arial" w:hint="eastAsia"/>
          <w:sz w:val="24"/>
        </w:rPr>
        <w:t>。</w:t>
      </w:r>
    </w:p>
    <w:p w14:paraId="3D31F305" w14:textId="77777777" w:rsidR="00E3116F" w:rsidRDefault="00E3116F">
      <w:pPr>
        <w:adjustRightInd w:val="0"/>
        <w:snapToGrid w:val="0"/>
        <w:spacing w:line="360" w:lineRule="auto"/>
        <w:ind w:firstLineChars="200" w:firstLine="480"/>
        <w:rPr>
          <w:rFonts w:ascii="宋体" w:hAnsi="宋体" w:cs="Arial"/>
          <w:sz w:val="24"/>
        </w:rPr>
      </w:pPr>
    </w:p>
    <w:p w14:paraId="4044D7F7" w14:textId="77777777" w:rsidR="00E3116F" w:rsidRDefault="00821F7A">
      <w:pPr>
        <w:pStyle w:val="2"/>
        <w:spacing w:line="360" w:lineRule="auto"/>
        <w:jc w:val="center"/>
        <w:rPr>
          <w:rFonts w:ascii="宋体" w:eastAsia="宋体" w:hAnsi="宋体"/>
          <w:sz w:val="30"/>
        </w:rPr>
      </w:pPr>
      <w:bookmarkStart w:id="108" w:name="_Toc516758906"/>
      <w:r>
        <w:rPr>
          <w:rFonts w:ascii="宋体" w:eastAsia="宋体" w:hAnsi="宋体" w:hint="eastAsia"/>
          <w:sz w:val="30"/>
        </w:rPr>
        <w:t>十二、基金份额持有人名册的保管</w:t>
      </w:r>
      <w:bookmarkEnd w:id="108"/>
    </w:p>
    <w:p w14:paraId="2C1DEDB5"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限不低于法律法规的规定。如不能妥善保管，则按相关法规承担责任。</w:t>
      </w:r>
    </w:p>
    <w:p w14:paraId="1334FD77" w14:textId="77777777" w:rsidR="00E3116F" w:rsidRDefault="00821F7A">
      <w:pPr>
        <w:adjustRightInd w:val="0"/>
        <w:snapToGrid w:val="0"/>
        <w:spacing w:line="360" w:lineRule="auto"/>
        <w:ind w:firstLineChars="200" w:firstLine="480"/>
        <w:rPr>
          <w:rFonts w:ascii="宋体" w:hAnsi="宋体"/>
          <w:kern w:val="0"/>
          <w:sz w:val="24"/>
        </w:rPr>
      </w:pPr>
      <w:r>
        <w:rPr>
          <w:rFonts w:ascii="宋体" w:hAnsi="宋体" w:cs="Arial" w:hint="eastAsia"/>
          <w:sz w:val="24"/>
        </w:rPr>
        <w:t>在基金托管人要求或编制中期报告和年度报告前，基金管理人应将有关资料送交基金托管人，不得无故拒绝或延误提供，并保证其真实性、准确性和完整性。</w:t>
      </w:r>
      <w:r>
        <w:rPr>
          <w:rFonts w:ascii="宋体" w:hAnsi="宋体" w:hint="eastAsia"/>
          <w:kern w:val="0"/>
          <w:sz w:val="24"/>
        </w:rPr>
        <w:t>基金托管人不得将所保管的基金份额持有人名册用于基金托管业务以外的其他用途，并应遵守保密义务，法律法规另有规定或有关机关另有要求的除外。</w:t>
      </w:r>
    </w:p>
    <w:p w14:paraId="72EC875C" w14:textId="77777777" w:rsidR="00E3116F" w:rsidRDefault="00E3116F">
      <w:pPr>
        <w:adjustRightInd w:val="0"/>
        <w:snapToGrid w:val="0"/>
        <w:spacing w:line="360" w:lineRule="auto"/>
        <w:ind w:firstLineChars="200" w:firstLine="480"/>
        <w:rPr>
          <w:rFonts w:ascii="宋体" w:hAnsi="宋体" w:cs="Arial"/>
          <w:sz w:val="24"/>
        </w:rPr>
      </w:pPr>
    </w:p>
    <w:p w14:paraId="7711B90C" w14:textId="77777777" w:rsidR="00E3116F" w:rsidRDefault="00821F7A">
      <w:pPr>
        <w:pStyle w:val="2"/>
        <w:spacing w:line="360" w:lineRule="auto"/>
        <w:jc w:val="center"/>
        <w:rPr>
          <w:rFonts w:ascii="宋体" w:eastAsia="宋体" w:hAnsi="宋体"/>
          <w:sz w:val="30"/>
        </w:rPr>
      </w:pPr>
      <w:bookmarkStart w:id="109" w:name="_Toc516758907"/>
      <w:r>
        <w:rPr>
          <w:rFonts w:ascii="宋体" w:eastAsia="宋体" w:hAnsi="宋体" w:hint="eastAsia"/>
          <w:sz w:val="30"/>
        </w:rPr>
        <w:t>十三、基金有关文件档案的保存</w:t>
      </w:r>
      <w:bookmarkEnd w:id="109"/>
    </w:p>
    <w:p w14:paraId="7DF4FF76" w14:textId="77777777" w:rsidR="00E3116F" w:rsidRDefault="00821F7A">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（一）档案保存</w:t>
      </w:r>
    </w:p>
    <w:p w14:paraId="3AF946AE"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低于法律法规的规定。</w:t>
      </w:r>
    </w:p>
    <w:p w14:paraId="081961F2" w14:textId="77777777" w:rsidR="00E3116F" w:rsidRDefault="00821F7A">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（二）合同档案的建立</w:t>
      </w:r>
    </w:p>
    <w:p w14:paraId="50CF477F"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1.基金管理人签署重大合同文本后，应及时将合同文本正本送达基金托管人处。</w:t>
      </w:r>
    </w:p>
    <w:p w14:paraId="3AF6B106"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2.基金管理人应及时将与本基金账务处理、资金划拨等有关的合同、协议传真基金托管人。</w:t>
      </w:r>
    </w:p>
    <w:p w14:paraId="24F1FD83" w14:textId="77777777" w:rsidR="00E3116F" w:rsidRDefault="00821F7A">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（三）变更与协助</w:t>
      </w:r>
    </w:p>
    <w:p w14:paraId="72974542" w14:textId="77777777" w:rsidR="00E3116F" w:rsidRDefault="00821F7A">
      <w:pPr>
        <w:adjustRightInd w:val="0"/>
        <w:snapToGrid w:val="0"/>
        <w:spacing w:line="360" w:lineRule="auto"/>
        <w:ind w:firstLineChars="200" w:firstLine="480"/>
        <w:rPr>
          <w:rFonts w:ascii="宋体" w:hAnsi="宋体"/>
          <w:b/>
          <w:bCs/>
          <w:sz w:val="30"/>
          <w:szCs w:val="30"/>
        </w:rPr>
      </w:pPr>
      <w:r>
        <w:rPr>
          <w:rFonts w:ascii="宋体" w:hAnsi="宋体" w:cs="Arial" w:hint="eastAsia"/>
          <w:sz w:val="24"/>
        </w:rPr>
        <w:t>若基金管理人/基金托管人发生变更，未变更的一方有义务协助变更后的接任人接收相应文件。</w:t>
      </w:r>
    </w:p>
    <w:p w14:paraId="3048D76F"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lastRenderedPageBreak/>
        <w:t>（四）基金管理人和基金托管人应按各自职责完整保存原始凭证、记账凭证、基金账册、交易记录和重要合同等，承担保密义务并保存，保存期限不少于法律法规的规定</w:t>
      </w:r>
      <w:r>
        <w:rPr>
          <w:rFonts w:ascii="宋体" w:hAnsi="宋体" w:hint="eastAsia"/>
          <w:kern w:val="0"/>
          <w:sz w:val="24"/>
        </w:rPr>
        <w:t>，法律法规另有规定或有关机关另有要求的除外</w:t>
      </w:r>
      <w:r>
        <w:rPr>
          <w:rFonts w:ascii="宋体" w:hAnsi="宋体" w:cs="Arial" w:hint="eastAsia"/>
          <w:sz w:val="24"/>
        </w:rPr>
        <w:t>。</w:t>
      </w:r>
    </w:p>
    <w:p w14:paraId="757D8ADF" w14:textId="77777777" w:rsidR="00E3116F" w:rsidRDefault="00E3116F">
      <w:pPr>
        <w:adjustRightInd w:val="0"/>
        <w:snapToGrid w:val="0"/>
        <w:spacing w:line="360" w:lineRule="auto"/>
        <w:ind w:firstLineChars="200" w:firstLine="600"/>
        <w:rPr>
          <w:rFonts w:ascii="宋体" w:hAnsi="宋体"/>
          <w:sz w:val="30"/>
          <w:szCs w:val="30"/>
        </w:rPr>
      </w:pPr>
    </w:p>
    <w:p w14:paraId="6C458D23" w14:textId="77777777" w:rsidR="00E3116F" w:rsidRDefault="00821F7A">
      <w:pPr>
        <w:pStyle w:val="2"/>
        <w:spacing w:line="360" w:lineRule="auto"/>
        <w:jc w:val="center"/>
        <w:rPr>
          <w:rFonts w:ascii="宋体" w:eastAsia="宋体" w:hAnsi="宋体"/>
          <w:sz w:val="30"/>
        </w:rPr>
      </w:pPr>
      <w:bookmarkStart w:id="110" w:name="_Toc516758908"/>
      <w:r>
        <w:rPr>
          <w:rFonts w:ascii="宋体" w:eastAsia="宋体" w:hAnsi="宋体" w:hint="eastAsia"/>
          <w:sz w:val="30"/>
        </w:rPr>
        <w:t>十四、基金管理人和基金托管人的更换</w:t>
      </w:r>
      <w:bookmarkEnd w:id="110"/>
    </w:p>
    <w:p w14:paraId="434468EE"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（一）基金管理人职责终止的情形</w:t>
      </w:r>
    </w:p>
    <w:p w14:paraId="327A5DFC"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1.基金管理人职责终止的情形</w:t>
      </w:r>
    </w:p>
    <w:p w14:paraId="1B745920"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有下列情形之一的，基金管理人职责终止：</w:t>
      </w:r>
    </w:p>
    <w:p w14:paraId="598BEC87"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（1）被依法取消基金管理资格；</w:t>
      </w:r>
    </w:p>
    <w:p w14:paraId="67FDD0F4"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（2）被基金份额持有人大会解任；</w:t>
      </w:r>
    </w:p>
    <w:p w14:paraId="0F461FA6"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（3）依法解散、被依法撤销或被依法宣告破产；</w:t>
      </w:r>
    </w:p>
    <w:p w14:paraId="1038D237"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（4）法律法规及中国证监会规定的和基金合同约定的其他情形。</w:t>
      </w:r>
    </w:p>
    <w:p w14:paraId="6EE53037"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2.基金管理人的更换程序</w:t>
      </w:r>
    </w:p>
    <w:p w14:paraId="69779C93"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更换基金管理人必须依照如下程序进行：</w:t>
      </w:r>
    </w:p>
    <w:p w14:paraId="2CBE9124"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（1）提名：新任基金管理人由基金托管人或由单独或合计持有10%以上（含10%）基金份额的基金份额持有人提名；</w:t>
      </w:r>
    </w:p>
    <w:p w14:paraId="25D2CE79"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决议自表决通过之日起生效；</w:t>
      </w:r>
    </w:p>
    <w:p w14:paraId="2347BADF"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（3）临时基金管理人：新任基金管理人产生之前，由中国证监会指定临时基金管理人；</w:t>
      </w:r>
    </w:p>
    <w:p w14:paraId="11D8B85C"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（4）备案：基金份额持有人大会更换基金管理人的决议须报中国证监会备案；</w:t>
      </w:r>
    </w:p>
    <w:p w14:paraId="42254F81"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（5）公告：基金管理人更换后，由基金托管人在更换基金管理人的基金份额持有人大会决议生效后依照《信息披露办法》的有关规定在规定媒介公告；</w:t>
      </w:r>
    </w:p>
    <w:p w14:paraId="2C67D68A"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和净值；</w:t>
      </w:r>
    </w:p>
    <w:p w14:paraId="269E3B55"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lastRenderedPageBreak/>
        <w:t>（7）审计：基金管理人职责终止的，应当按照法律法规规定聘请会计师事务所对基金财产进行审计，并将审计结果予以公告，同时报中国证监会备案；审计费用由基金资产承担；</w:t>
      </w:r>
    </w:p>
    <w:p w14:paraId="1F57057F"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（8）基金名称变更：基金管理人更换后，如果原任或新任基金管理人要求，应按其要求替换或删除基金名称中与原任基金管理人有关的名称字样。</w:t>
      </w:r>
    </w:p>
    <w:p w14:paraId="687A95E7"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（二）基金托管人职责终止的情形</w:t>
      </w:r>
    </w:p>
    <w:p w14:paraId="41D5A4AC"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1.基金托管人职责终止的情形</w:t>
      </w:r>
    </w:p>
    <w:p w14:paraId="3C1B2796"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有下列情形之一的，基金托管人职责终止：</w:t>
      </w:r>
    </w:p>
    <w:p w14:paraId="78CA7BCE"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（1）被依法取消基金托管资格；</w:t>
      </w:r>
    </w:p>
    <w:p w14:paraId="0AFC97A2"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（2）被基金份额持有人大会解任；</w:t>
      </w:r>
    </w:p>
    <w:p w14:paraId="1751D6D4"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（3）依法解散、被依法撤销或被依法宣告破产；</w:t>
      </w:r>
    </w:p>
    <w:p w14:paraId="39AB469A"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（4）法律法规及中国证监会规定的和基金合同约定的其他情形。</w:t>
      </w:r>
    </w:p>
    <w:p w14:paraId="7AC055A3"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2.基金托管人的更换程序</w:t>
      </w:r>
    </w:p>
    <w:p w14:paraId="3FA24A4C"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（1）提名：新任基金托管人由基金管理人或由单独或合计持有10%以上（含10%）基金份额的基金份额持有人提名；</w:t>
      </w:r>
    </w:p>
    <w:p w14:paraId="500917A8"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决议自表决通过之日起生效；</w:t>
      </w:r>
    </w:p>
    <w:p w14:paraId="07DD5DE7"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（3）临时基金托管人：新任基金托管人产生之前，由中国证监会指定临时基金托管人；</w:t>
      </w:r>
    </w:p>
    <w:p w14:paraId="52682089"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（4）备案：基金份额持有人大会更换基金托管人的决议须报中国证监会备案；</w:t>
      </w:r>
    </w:p>
    <w:p w14:paraId="7FB51BC1"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（5）公告：基金托管人更换后，由基金管理人在更换基金托管人的基金份额持有人大会决议生效后依照《信息披露办法》的有关规定在规定媒介公告；</w:t>
      </w:r>
    </w:p>
    <w:p w14:paraId="61F6C235"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6）交接：基金托管人职责终止的，应当妥善保管基金财产和基金托管业务资料，及时办理基金财产和基金托管业务的移交手续，新任基金托管人或者临时基金托管人应当及时接收。临时基金托管人或新任基金托管人应与基金管理人核对基金资产总值和净值；</w:t>
      </w:r>
    </w:p>
    <w:p w14:paraId="52855846"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（7）审计：基金托管人职责终止的，应当按照法律法规规定聘请会计师事务所对基金财产进行审计，并将审计结果予以公告，同时报中国证监会备案；审计费用由基金资产承担。</w:t>
      </w:r>
    </w:p>
    <w:p w14:paraId="60985A48"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lastRenderedPageBreak/>
        <w:t>（三）基金管理人与基金托管人同时更换的条件和程序</w:t>
      </w:r>
    </w:p>
    <w:p w14:paraId="4FCC68BA"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1.提名：如果基金管理人和基金托管人同时更换，由单独或合计持有基金总份额10%以上（含10%）的基金份额持有人提名新任基金管理人和基金托管人；</w:t>
      </w:r>
    </w:p>
    <w:p w14:paraId="6FDA88F9"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2.基金管理人和基金托管人的更换分别按上述程序进行；</w:t>
      </w:r>
    </w:p>
    <w:p w14:paraId="2DC5BDC2"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3.公告：新任基金管理人和新任基金托管人应在更换基金管理人和基金托管人的基金份额持有人大会决议生效后依照《信息披露办法》的有关规定在规定媒介上联合公告。</w:t>
      </w:r>
    </w:p>
    <w:p w14:paraId="1DC323EF" w14:textId="77777777" w:rsidR="00BC0E9F" w:rsidRDefault="00BC0E9F" w:rsidP="00BC0E9F">
      <w:pPr>
        <w:adjustRightInd w:val="0"/>
        <w:snapToGrid w:val="0"/>
        <w:spacing w:line="360" w:lineRule="auto"/>
        <w:ind w:firstLineChars="200" w:firstLine="480"/>
        <w:rPr>
          <w:rFonts w:ascii="宋体" w:hAnsi="宋体"/>
          <w:bCs/>
          <w:sz w:val="24"/>
        </w:rPr>
      </w:pPr>
      <w:r>
        <w:rPr>
          <w:rFonts w:ascii="宋体" w:hAnsi="宋体" w:hint="eastAsia"/>
          <w:bCs/>
          <w:sz w:val="24"/>
        </w:rPr>
        <w:t>（四）境外</w:t>
      </w:r>
      <w:r>
        <w:rPr>
          <w:rFonts w:ascii="宋体" w:hAnsi="宋体"/>
          <w:bCs/>
          <w:sz w:val="24"/>
        </w:rPr>
        <w:t>托管人的更换</w:t>
      </w:r>
    </w:p>
    <w:p w14:paraId="62463BE6" w14:textId="77777777" w:rsidR="00BC0E9F" w:rsidRDefault="00BC0E9F" w:rsidP="00BC0E9F">
      <w:pPr>
        <w:adjustRightInd w:val="0"/>
        <w:snapToGrid w:val="0"/>
        <w:spacing w:line="360" w:lineRule="auto"/>
        <w:ind w:firstLineChars="200" w:firstLine="480"/>
        <w:rPr>
          <w:rFonts w:ascii="宋体" w:hAnsi="宋体"/>
          <w:bCs/>
          <w:sz w:val="24"/>
        </w:rPr>
      </w:pPr>
      <w:r>
        <w:rPr>
          <w:rFonts w:ascii="宋体" w:hAnsi="宋体"/>
          <w:bCs/>
          <w:sz w:val="24"/>
        </w:rPr>
        <w:t>1、如果基金托管人更换境外托管人，应在合理的期限内及时书面通知基金管理人；</w:t>
      </w:r>
    </w:p>
    <w:p w14:paraId="3B74C99C" w14:textId="77777777" w:rsidR="00BC0E9F" w:rsidRDefault="00BC0E9F" w:rsidP="00BC0E9F">
      <w:pPr>
        <w:adjustRightInd w:val="0"/>
        <w:snapToGrid w:val="0"/>
        <w:spacing w:line="360" w:lineRule="auto"/>
        <w:ind w:firstLineChars="200" w:firstLine="480"/>
        <w:rPr>
          <w:rFonts w:ascii="宋体" w:hAnsi="宋体"/>
          <w:bCs/>
          <w:sz w:val="24"/>
        </w:rPr>
      </w:pPr>
      <w:r>
        <w:rPr>
          <w:rFonts w:ascii="宋体" w:hAnsi="宋体"/>
          <w:bCs/>
          <w:sz w:val="24"/>
        </w:rPr>
        <w:t>2、基金托管人和境外托管人根据更换境外托管人通知办理相应的业务交接手续，在办理相应的业务交接手续时，基金托管人和境外托管人应继续遵循诚实信用、勤勉尽责的原则，妥善保管基金财产；</w:t>
      </w:r>
    </w:p>
    <w:p w14:paraId="0A674476" w14:textId="77777777" w:rsidR="00BC0E9F" w:rsidRDefault="00BC0E9F" w:rsidP="00BC0E9F">
      <w:pPr>
        <w:adjustRightInd w:val="0"/>
        <w:snapToGrid w:val="0"/>
        <w:spacing w:line="360" w:lineRule="auto"/>
        <w:ind w:firstLineChars="200" w:firstLine="480"/>
        <w:rPr>
          <w:rFonts w:ascii="宋体" w:hAnsi="宋体"/>
          <w:bCs/>
          <w:sz w:val="24"/>
        </w:rPr>
      </w:pPr>
      <w:r>
        <w:rPr>
          <w:rFonts w:ascii="宋体" w:hAnsi="宋体"/>
          <w:bCs/>
          <w:sz w:val="24"/>
        </w:rPr>
        <w:t>3、基金托管人应要求接任的境外托管人配合原境外托管人办理业务交接手续；</w:t>
      </w:r>
    </w:p>
    <w:p w14:paraId="36BA0DBA" w14:textId="77777777" w:rsidR="00BC0E9F" w:rsidRDefault="00BC0E9F" w:rsidP="00BC0E9F">
      <w:pPr>
        <w:adjustRightInd w:val="0"/>
        <w:snapToGrid w:val="0"/>
        <w:spacing w:line="360" w:lineRule="auto"/>
        <w:ind w:firstLineChars="200" w:firstLine="480"/>
        <w:rPr>
          <w:rFonts w:ascii="宋体" w:hAnsi="宋体"/>
          <w:bCs/>
          <w:sz w:val="24"/>
        </w:rPr>
      </w:pPr>
      <w:r>
        <w:rPr>
          <w:rFonts w:ascii="宋体" w:hAnsi="宋体"/>
          <w:bCs/>
          <w:sz w:val="24"/>
        </w:rPr>
        <w:t>4、在新的境外托管人履行职责前，原境外托管人应继续履行本协议项下的托管职责，但基金托管人应支付相应的合理托管费用；</w:t>
      </w:r>
    </w:p>
    <w:p w14:paraId="1AAD6E84" w14:textId="77777777" w:rsidR="00BC0E9F" w:rsidRDefault="00BC0E9F" w:rsidP="00BC0E9F">
      <w:pPr>
        <w:adjustRightInd w:val="0"/>
        <w:snapToGrid w:val="0"/>
        <w:spacing w:line="360" w:lineRule="auto"/>
        <w:ind w:firstLineChars="200" w:firstLine="480"/>
        <w:rPr>
          <w:rFonts w:ascii="宋体" w:hAnsi="宋体"/>
          <w:bCs/>
          <w:sz w:val="24"/>
        </w:rPr>
      </w:pPr>
      <w:r>
        <w:rPr>
          <w:rFonts w:ascii="宋体" w:hAnsi="宋体"/>
          <w:bCs/>
          <w:sz w:val="24"/>
        </w:rPr>
        <w:t>5、因基金托管人主动更换境外托管人而进行的资产转移所产生的费用由基金托管人承担，否则由基金资产承担；</w:t>
      </w:r>
    </w:p>
    <w:p w14:paraId="0A757E8B" w14:textId="77777777" w:rsidR="00BC0E9F" w:rsidRDefault="00BC0E9F" w:rsidP="00BC0E9F">
      <w:pPr>
        <w:adjustRightInd w:val="0"/>
        <w:snapToGrid w:val="0"/>
        <w:spacing w:line="360" w:lineRule="auto"/>
        <w:ind w:firstLineChars="200" w:firstLine="480"/>
        <w:rPr>
          <w:rFonts w:ascii="宋体" w:hAnsi="宋体"/>
          <w:bCs/>
          <w:sz w:val="24"/>
        </w:rPr>
      </w:pPr>
      <w:r>
        <w:rPr>
          <w:rFonts w:ascii="宋体" w:hAnsi="宋体"/>
          <w:bCs/>
          <w:sz w:val="24"/>
        </w:rPr>
        <w:t>6、变更境外托管人后5个工作日内应向中国证监会备案并依照《信息披露办法》的有关规定在规定媒介上公告。</w:t>
      </w:r>
    </w:p>
    <w:p w14:paraId="160D745A" w14:textId="7B360FB2"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w:t>
      </w:r>
      <w:r w:rsidR="00BC0E9F">
        <w:rPr>
          <w:rFonts w:ascii="宋体" w:hAnsi="宋体" w:cs="Arial" w:hint="eastAsia"/>
          <w:sz w:val="24"/>
        </w:rPr>
        <w:t>五</w:t>
      </w:r>
      <w:r>
        <w:rPr>
          <w:rFonts w:ascii="宋体" w:hAnsi="宋体" w:cs="Arial" w:hint="eastAsia"/>
          <w:sz w:val="24"/>
        </w:rPr>
        <w:t>）新任或临时基金管理人接收基金管理业务或新任或临时基金托管人接收基金财产和基金托管业务前，原任基金管理人或原任基金托管人应依据法律法规和基金合同的规定继续履行相关职责，并保证不做出对基金份额持有人的利益造成损害的行为。原任基金管理人或原任基金托管人在继续履行相关职责期间，仍有权按照基金合同的规定收取基金管理费</w:t>
      </w:r>
      <w:r>
        <w:rPr>
          <w:rFonts w:hint="eastAsia"/>
          <w:bCs/>
          <w:sz w:val="24"/>
        </w:rPr>
        <w:t>（包括固定管理费、或有管理费和超额管理费）</w:t>
      </w:r>
      <w:r>
        <w:rPr>
          <w:rFonts w:ascii="宋体" w:hAnsi="宋体" w:cs="Arial" w:hint="eastAsia"/>
          <w:sz w:val="24"/>
        </w:rPr>
        <w:t>或基金托管费。</w:t>
      </w:r>
    </w:p>
    <w:p w14:paraId="1D354F01" w14:textId="77777777" w:rsidR="00E3116F" w:rsidRDefault="00E3116F">
      <w:pPr>
        <w:adjustRightInd w:val="0"/>
        <w:snapToGrid w:val="0"/>
        <w:spacing w:line="360" w:lineRule="auto"/>
        <w:ind w:firstLineChars="200" w:firstLine="480"/>
        <w:rPr>
          <w:rFonts w:ascii="宋体" w:hAnsi="宋体" w:cs="Arial"/>
          <w:sz w:val="24"/>
        </w:rPr>
      </w:pPr>
    </w:p>
    <w:p w14:paraId="21249695" w14:textId="77777777" w:rsidR="00E3116F" w:rsidRDefault="00821F7A">
      <w:pPr>
        <w:pStyle w:val="2"/>
        <w:spacing w:line="360" w:lineRule="auto"/>
        <w:jc w:val="center"/>
        <w:rPr>
          <w:rFonts w:ascii="宋体" w:eastAsia="宋体" w:hAnsi="宋体"/>
          <w:sz w:val="30"/>
        </w:rPr>
      </w:pPr>
      <w:bookmarkStart w:id="111" w:name="_Toc516758909"/>
      <w:r>
        <w:rPr>
          <w:rFonts w:ascii="宋体" w:eastAsia="宋体" w:hAnsi="宋体" w:hint="eastAsia"/>
          <w:sz w:val="30"/>
        </w:rPr>
        <w:lastRenderedPageBreak/>
        <w:t>十五、禁止行为</w:t>
      </w:r>
      <w:bookmarkEnd w:id="111"/>
    </w:p>
    <w:p w14:paraId="13B194F8" w14:textId="77777777" w:rsidR="00E3116F" w:rsidRDefault="00821F7A">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本协议当事人禁止从事的行为，包括但不限于：</w:t>
      </w:r>
    </w:p>
    <w:p w14:paraId="1EACA279" w14:textId="77777777" w:rsidR="00E3116F" w:rsidRDefault="00821F7A">
      <w:pPr>
        <w:spacing w:line="360" w:lineRule="auto"/>
        <w:ind w:firstLineChars="200" w:firstLine="480"/>
        <w:rPr>
          <w:rFonts w:ascii="宋体" w:hAnsi="宋体"/>
          <w:sz w:val="24"/>
        </w:rPr>
      </w:pPr>
      <w:r>
        <w:rPr>
          <w:rFonts w:ascii="宋体" w:hAnsi="宋体" w:hint="eastAsia"/>
          <w:sz w:val="24"/>
        </w:rPr>
        <w:t>（一）基金管理人、基金托管人将其固有财产或者他人财产混同于基金财产从事证券投资。</w:t>
      </w:r>
    </w:p>
    <w:p w14:paraId="5FE1AE28" w14:textId="77777777" w:rsidR="00E3116F" w:rsidRDefault="00821F7A">
      <w:pPr>
        <w:spacing w:line="360" w:lineRule="auto"/>
        <w:ind w:firstLineChars="200" w:firstLine="480"/>
        <w:rPr>
          <w:rFonts w:ascii="宋体" w:hAnsi="宋体"/>
        </w:rPr>
      </w:pPr>
      <w:r>
        <w:rPr>
          <w:rFonts w:ascii="宋体" w:hAnsi="宋体" w:hint="eastAsia"/>
          <w:sz w:val="24"/>
        </w:rPr>
        <w:t>（二）基金管理人不公平地对待其管理的不同基金财产，基金托管人不公平地对待其托管的不同基金财产。</w:t>
      </w:r>
    </w:p>
    <w:p w14:paraId="6FE32931" w14:textId="77777777" w:rsidR="00E3116F" w:rsidRDefault="00821F7A">
      <w:pPr>
        <w:spacing w:line="360" w:lineRule="auto"/>
        <w:ind w:firstLineChars="200" w:firstLine="480"/>
        <w:rPr>
          <w:rFonts w:ascii="宋体" w:hAnsi="宋体"/>
          <w:sz w:val="24"/>
        </w:rPr>
      </w:pPr>
      <w:r>
        <w:rPr>
          <w:rFonts w:ascii="宋体" w:hAnsi="宋体" w:hint="eastAsia"/>
          <w:sz w:val="24"/>
        </w:rPr>
        <w:t>（三）基金管理人、基金托管人利用基金财产或职务之便为基金份额持有人以外的人牟取利益。</w:t>
      </w:r>
    </w:p>
    <w:p w14:paraId="78B035E2" w14:textId="77777777" w:rsidR="00E3116F" w:rsidRDefault="00821F7A">
      <w:pPr>
        <w:spacing w:line="360" w:lineRule="auto"/>
        <w:ind w:firstLineChars="200" w:firstLine="480"/>
        <w:rPr>
          <w:rFonts w:ascii="宋体" w:hAnsi="宋体"/>
          <w:sz w:val="24"/>
        </w:rPr>
      </w:pPr>
      <w:r>
        <w:rPr>
          <w:rFonts w:ascii="宋体" w:hAnsi="宋体" w:hint="eastAsia"/>
          <w:sz w:val="24"/>
        </w:rPr>
        <w:t>（四）基金管理人、基金托管人向基金份额持有人违规承诺收益或者承担损失。</w:t>
      </w:r>
    </w:p>
    <w:p w14:paraId="1B100D53" w14:textId="77777777" w:rsidR="00E3116F" w:rsidRDefault="00821F7A">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（五）基金管理人、基金托管人对他人泄露基金运作和管理过程中任何尚未按法律法规规定的方式公开披露的信息。</w:t>
      </w:r>
    </w:p>
    <w:p w14:paraId="51DBE41F" w14:textId="77777777" w:rsidR="00E3116F" w:rsidRDefault="00821F7A">
      <w:pPr>
        <w:pStyle w:val="a6"/>
        <w:spacing w:line="360" w:lineRule="auto"/>
        <w:outlineLvl w:val="0"/>
        <w:rPr>
          <w:rFonts w:ascii="宋体" w:eastAsia="宋体" w:hAnsi="宋体" w:cs="Arial"/>
          <w:szCs w:val="24"/>
        </w:rPr>
      </w:pPr>
      <w:r>
        <w:rPr>
          <w:rFonts w:ascii="宋体" w:eastAsia="宋体" w:hAnsi="宋体" w:cs="Arial" w:hint="eastAsia"/>
          <w:szCs w:val="24"/>
        </w:rPr>
        <w:t>（六）基金管理人在没有充足资金的情况下向基金托管人发出投资指令和赎回、分红资金的划拨指令，或违规向基金托管人发出指令。</w:t>
      </w:r>
    </w:p>
    <w:p w14:paraId="7BCB5139" w14:textId="77777777" w:rsidR="00E3116F" w:rsidRDefault="00821F7A">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（七）基金管理人、基金托管人在行政上、财务上不独立，其高级管理人员和其他从业人员相互兼职。</w:t>
      </w:r>
    </w:p>
    <w:p w14:paraId="41F8015A" w14:textId="77777777" w:rsidR="00E3116F" w:rsidRDefault="00821F7A">
      <w:pPr>
        <w:spacing w:line="360" w:lineRule="auto"/>
        <w:ind w:firstLineChars="200" w:firstLine="480"/>
        <w:rPr>
          <w:rFonts w:ascii="宋体" w:hAnsi="宋体" w:cs="Arial"/>
          <w:sz w:val="24"/>
        </w:rPr>
      </w:pPr>
      <w:r>
        <w:rPr>
          <w:rFonts w:ascii="宋体" w:hAnsi="宋体" w:cs="Arial" w:hint="eastAsia"/>
          <w:sz w:val="24"/>
        </w:rPr>
        <w:t>（八）基金托管人私自动用或处分基金财产，根据基金管理人的合法指令、《基金合同》或托管协议的规定进行处分的除外。</w:t>
      </w:r>
    </w:p>
    <w:p w14:paraId="497347FE" w14:textId="77777777" w:rsidR="00B4263A" w:rsidRDefault="00821F7A">
      <w:pPr>
        <w:spacing w:line="360" w:lineRule="auto"/>
        <w:ind w:firstLineChars="200" w:firstLine="480"/>
        <w:rPr>
          <w:rFonts w:ascii="宋体" w:hAnsi="宋体" w:cs="Arial"/>
          <w:sz w:val="24"/>
        </w:rPr>
      </w:pPr>
      <w:r>
        <w:rPr>
          <w:rFonts w:ascii="宋体" w:hAnsi="宋体" w:hint="eastAsia"/>
          <w:sz w:val="24"/>
        </w:rPr>
        <w:t>（九）</w:t>
      </w:r>
      <w:r>
        <w:rPr>
          <w:rFonts w:ascii="宋体" w:hAnsi="宋体" w:cs="Arial" w:hint="eastAsia"/>
          <w:sz w:val="24"/>
        </w:rPr>
        <w:t>基金财产用于下列投资或者活动：</w:t>
      </w:r>
    </w:p>
    <w:p w14:paraId="669DC153" w14:textId="77777777" w:rsidR="00B4263A" w:rsidRDefault="00B4263A" w:rsidP="00B4263A">
      <w:pPr>
        <w:adjustRightInd w:val="0"/>
        <w:snapToGrid w:val="0"/>
        <w:spacing w:line="360" w:lineRule="auto"/>
        <w:ind w:firstLineChars="200" w:firstLine="480"/>
        <w:rPr>
          <w:rFonts w:ascii="宋体" w:hAnsi="宋体"/>
          <w:bCs/>
          <w:sz w:val="24"/>
          <w:szCs w:val="24"/>
        </w:rPr>
      </w:pPr>
      <w:r>
        <w:rPr>
          <w:rFonts w:ascii="宋体" w:hAnsi="宋体"/>
          <w:bCs/>
          <w:sz w:val="24"/>
          <w:szCs w:val="24"/>
        </w:rPr>
        <w:t>为维护基金份额持有人的合法权益，</w:t>
      </w:r>
      <w:r w:rsidRPr="002245CA">
        <w:rPr>
          <w:rFonts w:ascii="宋体" w:hAnsi="宋体" w:hint="eastAsia"/>
          <w:bCs/>
          <w:sz w:val="24"/>
          <w:szCs w:val="24"/>
        </w:rPr>
        <w:t>本基金境内投资不得参与下列投资或者活动</w:t>
      </w:r>
      <w:r>
        <w:rPr>
          <w:rFonts w:ascii="宋体" w:hAnsi="宋体"/>
          <w:bCs/>
          <w:sz w:val="24"/>
          <w:szCs w:val="24"/>
        </w:rPr>
        <w:t>：</w:t>
      </w:r>
    </w:p>
    <w:p w14:paraId="4D0E7620" w14:textId="77777777" w:rsidR="00B4263A" w:rsidRDefault="00B4263A" w:rsidP="00B4263A">
      <w:pPr>
        <w:adjustRightInd w:val="0"/>
        <w:snapToGrid w:val="0"/>
        <w:spacing w:line="360" w:lineRule="auto"/>
        <w:ind w:firstLineChars="200" w:firstLine="480"/>
        <w:rPr>
          <w:rFonts w:ascii="宋体" w:hAnsi="宋体"/>
          <w:bCs/>
          <w:sz w:val="24"/>
          <w:szCs w:val="24"/>
        </w:rPr>
      </w:pPr>
      <w:r>
        <w:rPr>
          <w:rFonts w:ascii="宋体" w:hAnsi="宋体"/>
          <w:bCs/>
          <w:sz w:val="24"/>
          <w:szCs w:val="24"/>
        </w:rPr>
        <w:t>（1）承销证券；</w:t>
      </w:r>
    </w:p>
    <w:p w14:paraId="3ED695D2" w14:textId="77777777" w:rsidR="00B4263A" w:rsidRDefault="00B4263A" w:rsidP="00B4263A">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2</w:t>
      </w:r>
      <w:r>
        <w:rPr>
          <w:rFonts w:ascii="宋体" w:hAnsi="宋体"/>
          <w:bCs/>
          <w:sz w:val="24"/>
          <w:szCs w:val="24"/>
        </w:rPr>
        <w:t>）</w:t>
      </w:r>
      <w:r>
        <w:rPr>
          <w:rFonts w:ascii="宋体" w:hAnsi="宋体" w:hint="eastAsia"/>
          <w:bCs/>
          <w:sz w:val="24"/>
          <w:szCs w:val="24"/>
        </w:rPr>
        <w:t>违反规定</w:t>
      </w:r>
      <w:r>
        <w:rPr>
          <w:rFonts w:ascii="宋体" w:hAnsi="宋体"/>
          <w:bCs/>
          <w:sz w:val="24"/>
          <w:szCs w:val="24"/>
        </w:rPr>
        <w:t>向他人贷款或者提供担保；</w:t>
      </w:r>
    </w:p>
    <w:p w14:paraId="493E7E38" w14:textId="77777777" w:rsidR="00B4263A" w:rsidRDefault="00B4263A" w:rsidP="00B4263A">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3</w:t>
      </w:r>
      <w:r>
        <w:rPr>
          <w:rFonts w:ascii="宋体" w:hAnsi="宋体"/>
          <w:bCs/>
          <w:sz w:val="24"/>
          <w:szCs w:val="24"/>
        </w:rPr>
        <w:t>）从事承担无限责任的投资；</w:t>
      </w:r>
    </w:p>
    <w:p w14:paraId="7D7CF784" w14:textId="77777777" w:rsidR="00B4263A" w:rsidRDefault="00B4263A" w:rsidP="00B4263A">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4</w:t>
      </w:r>
      <w:r>
        <w:rPr>
          <w:rFonts w:ascii="宋体" w:hAnsi="宋体"/>
          <w:bCs/>
          <w:sz w:val="24"/>
          <w:szCs w:val="24"/>
        </w:rPr>
        <w:t>）买卖其他基金份额，但是</w:t>
      </w:r>
      <w:r>
        <w:rPr>
          <w:rFonts w:ascii="宋体" w:hAnsi="宋体" w:hint="eastAsia"/>
          <w:bCs/>
          <w:sz w:val="24"/>
          <w:szCs w:val="24"/>
        </w:rPr>
        <w:t>中国证监会</w:t>
      </w:r>
      <w:r>
        <w:rPr>
          <w:rFonts w:ascii="宋体" w:hAnsi="宋体"/>
          <w:bCs/>
          <w:sz w:val="24"/>
          <w:szCs w:val="24"/>
        </w:rPr>
        <w:t>另有规定的除外；</w:t>
      </w:r>
    </w:p>
    <w:p w14:paraId="3E30869A" w14:textId="77777777" w:rsidR="00B4263A" w:rsidRDefault="00B4263A" w:rsidP="00B4263A">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5</w:t>
      </w:r>
      <w:r>
        <w:rPr>
          <w:rFonts w:ascii="宋体" w:hAnsi="宋体"/>
          <w:bCs/>
          <w:sz w:val="24"/>
          <w:szCs w:val="24"/>
        </w:rPr>
        <w:t>）向其基金管理人、基金托管人出资</w:t>
      </w:r>
      <w:r>
        <w:rPr>
          <w:rFonts w:ascii="宋体" w:hAnsi="宋体" w:hint="eastAsia"/>
          <w:bCs/>
          <w:sz w:val="24"/>
          <w:szCs w:val="24"/>
        </w:rPr>
        <w:t>；</w:t>
      </w:r>
    </w:p>
    <w:p w14:paraId="66A8A154" w14:textId="77777777" w:rsidR="00B4263A" w:rsidRDefault="00B4263A" w:rsidP="00B4263A">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6</w:t>
      </w:r>
      <w:r>
        <w:rPr>
          <w:rFonts w:ascii="宋体" w:hAnsi="宋体"/>
          <w:bCs/>
          <w:sz w:val="24"/>
          <w:szCs w:val="24"/>
        </w:rPr>
        <w:t>）从事内幕交易、操纵证券交易价格及其他不正当的证券交易活动；</w:t>
      </w:r>
    </w:p>
    <w:p w14:paraId="6E41F61E" w14:textId="77777777" w:rsidR="00B4263A" w:rsidRDefault="00B4263A" w:rsidP="00B4263A">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7</w:t>
      </w:r>
      <w:r>
        <w:rPr>
          <w:rFonts w:ascii="宋体" w:hAnsi="宋体"/>
          <w:bCs/>
          <w:sz w:val="24"/>
          <w:szCs w:val="24"/>
        </w:rPr>
        <w:t>）法律</w:t>
      </w:r>
      <w:r>
        <w:rPr>
          <w:rFonts w:ascii="宋体" w:hAnsi="宋体" w:hint="eastAsia"/>
          <w:bCs/>
          <w:sz w:val="24"/>
          <w:szCs w:val="24"/>
        </w:rPr>
        <w:t>、行政</w:t>
      </w:r>
      <w:r>
        <w:rPr>
          <w:rFonts w:ascii="宋体" w:hAnsi="宋体"/>
          <w:bCs/>
          <w:sz w:val="24"/>
          <w:szCs w:val="24"/>
        </w:rPr>
        <w:t>法规</w:t>
      </w:r>
      <w:r>
        <w:rPr>
          <w:rFonts w:ascii="宋体" w:hAnsi="宋体" w:hint="eastAsia"/>
          <w:bCs/>
          <w:sz w:val="24"/>
          <w:szCs w:val="24"/>
        </w:rPr>
        <w:t>和</w:t>
      </w:r>
      <w:r>
        <w:rPr>
          <w:rFonts w:ascii="宋体" w:hAnsi="宋体"/>
          <w:bCs/>
          <w:sz w:val="24"/>
          <w:szCs w:val="24"/>
        </w:rPr>
        <w:t>中国证监会规定禁止的其他活动</w:t>
      </w:r>
      <w:r>
        <w:rPr>
          <w:rFonts w:ascii="宋体" w:hAnsi="宋体" w:hint="eastAsia"/>
          <w:bCs/>
          <w:sz w:val="24"/>
          <w:szCs w:val="24"/>
        </w:rPr>
        <w:t>。</w:t>
      </w:r>
    </w:p>
    <w:p w14:paraId="738BDE99" w14:textId="318361E0" w:rsidR="00B4263A" w:rsidRDefault="00B4263A" w:rsidP="00B4263A">
      <w:pPr>
        <w:adjustRightInd w:val="0"/>
        <w:snapToGrid w:val="0"/>
        <w:spacing w:line="360" w:lineRule="auto"/>
        <w:ind w:firstLineChars="200" w:firstLine="480"/>
        <w:rPr>
          <w:rFonts w:ascii="宋体" w:hAnsi="宋体"/>
          <w:bCs/>
          <w:sz w:val="24"/>
          <w:szCs w:val="24"/>
        </w:rPr>
      </w:pPr>
      <w:r>
        <w:rPr>
          <w:rFonts w:ascii="宋体" w:hAnsi="宋体"/>
          <w:bCs/>
          <w:sz w:val="24"/>
          <w:szCs w:val="24"/>
        </w:rPr>
        <w:t>为维护基金份额持有人的合法权益，</w:t>
      </w:r>
      <w:r w:rsidRPr="002245CA">
        <w:rPr>
          <w:rFonts w:ascii="宋体" w:hAnsi="宋体" w:hint="eastAsia"/>
          <w:bCs/>
          <w:sz w:val="24"/>
          <w:szCs w:val="24"/>
        </w:rPr>
        <w:t>本基金境</w:t>
      </w:r>
      <w:r w:rsidR="00393C8C">
        <w:rPr>
          <w:rFonts w:ascii="宋体" w:hAnsi="宋体" w:hint="eastAsia"/>
          <w:bCs/>
          <w:sz w:val="24"/>
          <w:szCs w:val="24"/>
        </w:rPr>
        <w:t>外</w:t>
      </w:r>
      <w:r w:rsidRPr="002245CA">
        <w:rPr>
          <w:rFonts w:ascii="宋体" w:hAnsi="宋体" w:hint="eastAsia"/>
          <w:bCs/>
          <w:sz w:val="24"/>
          <w:szCs w:val="24"/>
        </w:rPr>
        <w:t>投资不得参与下列投资或者活动</w:t>
      </w:r>
      <w:r>
        <w:rPr>
          <w:rFonts w:ascii="宋体" w:hAnsi="宋体"/>
          <w:bCs/>
          <w:sz w:val="24"/>
          <w:szCs w:val="24"/>
        </w:rPr>
        <w:t>：</w:t>
      </w:r>
    </w:p>
    <w:p w14:paraId="57E77D9B" w14:textId="77777777" w:rsidR="00B4263A" w:rsidRPr="002245CA" w:rsidRDefault="00B4263A" w:rsidP="00B4263A">
      <w:pPr>
        <w:adjustRightInd w:val="0"/>
        <w:snapToGrid w:val="0"/>
        <w:spacing w:line="360" w:lineRule="auto"/>
        <w:ind w:firstLineChars="200" w:firstLine="480"/>
        <w:rPr>
          <w:rFonts w:ascii="宋体" w:hAnsi="宋体"/>
          <w:bCs/>
          <w:sz w:val="24"/>
          <w:szCs w:val="24"/>
        </w:rPr>
      </w:pPr>
      <w:r w:rsidRPr="002245CA">
        <w:rPr>
          <w:rFonts w:ascii="宋体" w:hAnsi="宋体" w:hint="eastAsia"/>
          <w:bCs/>
          <w:sz w:val="24"/>
          <w:szCs w:val="24"/>
        </w:rPr>
        <w:lastRenderedPageBreak/>
        <w:t>（</w:t>
      </w:r>
      <w:r w:rsidRPr="002245CA">
        <w:rPr>
          <w:rFonts w:ascii="宋体" w:hAnsi="宋体"/>
          <w:bCs/>
          <w:sz w:val="24"/>
          <w:szCs w:val="24"/>
        </w:rPr>
        <w:t>1</w:t>
      </w:r>
      <w:r w:rsidRPr="002245CA">
        <w:rPr>
          <w:rFonts w:ascii="宋体" w:hAnsi="宋体" w:hint="eastAsia"/>
          <w:bCs/>
          <w:sz w:val="24"/>
          <w:szCs w:val="24"/>
        </w:rPr>
        <w:t>）承销证券；</w:t>
      </w:r>
    </w:p>
    <w:p w14:paraId="66CA7E0B" w14:textId="77777777" w:rsidR="00B4263A" w:rsidRPr="002245CA" w:rsidRDefault="00B4263A" w:rsidP="00B4263A">
      <w:pPr>
        <w:adjustRightInd w:val="0"/>
        <w:snapToGrid w:val="0"/>
        <w:spacing w:line="360" w:lineRule="auto"/>
        <w:ind w:firstLineChars="200" w:firstLine="480"/>
        <w:rPr>
          <w:rFonts w:ascii="宋体" w:hAnsi="宋体"/>
          <w:bCs/>
          <w:sz w:val="24"/>
          <w:szCs w:val="24"/>
        </w:rPr>
      </w:pPr>
      <w:r w:rsidRPr="002245CA">
        <w:rPr>
          <w:rFonts w:ascii="宋体" w:hAnsi="宋体" w:hint="eastAsia"/>
          <w:bCs/>
          <w:sz w:val="24"/>
          <w:szCs w:val="24"/>
        </w:rPr>
        <w:t>（</w:t>
      </w:r>
      <w:r w:rsidRPr="002245CA">
        <w:rPr>
          <w:rFonts w:ascii="宋体" w:hAnsi="宋体"/>
          <w:bCs/>
          <w:sz w:val="24"/>
          <w:szCs w:val="24"/>
        </w:rPr>
        <w:t>2</w:t>
      </w:r>
      <w:r w:rsidRPr="002245CA">
        <w:rPr>
          <w:rFonts w:ascii="宋体" w:hAnsi="宋体" w:hint="eastAsia"/>
          <w:bCs/>
          <w:sz w:val="24"/>
          <w:szCs w:val="24"/>
        </w:rPr>
        <w:t>）违反规定向他人贷款或提供担保；</w:t>
      </w:r>
    </w:p>
    <w:p w14:paraId="01526AEE" w14:textId="77777777" w:rsidR="00B4263A" w:rsidRPr="002245CA" w:rsidRDefault="00B4263A" w:rsidP="00B4263A">
      <w:pPr>
        <w:adjustRightInd w:val="0"/>
        <w:snapToGrid w:val="0"/>
        <w:spacing w:line="360" w:lineRule="auto"/>
        <w:ind w:firstLineChars="200" w:firstLine="480"/>
        <w:rPr>
          <w:rFonts w:ascii="宋体" w:hAnsi="宋体"/>
          <w:bCs/>
          <w:sz w:val="24"/>
          <w:szCs w:val="24"/>
        </w:rPr>
      </w:pPr>
      <w:r w:rsidRPr="002245CA">
        <w:rPr>
          <w:rFonts w:ascii="宋体" w:hAnsi="宋体" w:hint="eastAsia"/>
          <w:bCs/>
          <w:sz w:val="24"/>
          <w:szCs w:val="24"/>
        </w:rPr>
        <w:t>（</w:t>
      </w:r>
      <w:r w:rsidRPr="002245CA">
        <w:rPr>
          <w:rFonts w:ascii="宋体" w:hAnsi="宋体"/>
          <w:bCs/>
          <w:sz w:val="24"/>
          <w:szCs w:val="24"/>
        </w:rPr>
        <w:t>3</w:t>
      </w:r>
      <w:r w:rsidRPr="002245CA">
        <w:rPr>
          <w:rFonts w:ascii="宋体" w:hAnsi="宋体" w:hint="eastAsia"/>
          <w:bCs/>
          <w:sz w:val="24"/>
          <w:szCs w:val="24"/>
        </w:rPr>
        <w:t>）从事承担无限责任的投资；</w:t>
      </w:r>
    </w:p>
    <w:p w14:paraId="51DCD466" w14:textId="77777777" w:rsidR="00B4263A" w:rsidRPr="002245CA" w:rsidRDefault="00B4263A" w:rsidP="00B4263A">
      <w:pPr>
        <w:adjustRightInd w:val="0"/>
        <w:snapToGrid w:val="0"/>
        <w:spacing w:line="360" w:lineRule="auto"/>
        <w:ind w:firstLineChars="200" w:firstLine="480"/>
        <w:rPr>
          <w:rFonts w:ascii="宋体" w:hAnsi="宋体"/>
          <w:bCs/>
          <w:sz w:val="24"/>
          <w:szCs w:val="24"/>
        </w:rPr>
      </w:pPr>
      <w:r w:rsidRPr="002245CA">
        <w:rPr>
          <w:rFonts w:ascii="宋体" w:hAnsi="宋体" w:hint="eastAsia"/>
          <w:bCs/>
          <w:sz w:val="24"/>
          <w:szCs w:val="24"/>
        </w:rPr>
        <w:t>（</w:t>
      </w:r>
      <w:r w:rsidRPr="002245CA">
        <w:rPr>
          <w:rFonts w:ascii="宋体" w:hAnsi="宋体"/>
          <w:bCs/>
          <w:sz w:val="24"/>
          <w:szCs w:val="24"/>
        </w:rPr>
        <w:t>4</w:t>
      </w:r>
      <w:r w:rsidRPr="002245CA">
        <w:rPr>
          <w:rFonts w:ascii="宋体" w:hAnsi="宋体" w:hint="eastAsia"/>
          <w:bCs/>
          <w:sz w:val="24"/>
          <w:szCs w:val="24"/>
        </w:rPr>
        <w:t>）购买不动产；</w:t>
      </w:r>
    </w:p>
    <w:p w14:paraId="1FCD1FC7" w14:textId="77777777" w:rsidR="00B4263A" w:rsidRPr="002245CA" w:rsidRDefault="00B4263A" w:rsidP="00B4263A">
      <w:pPr>
        <w:adjustRightInd w:val="0"/>
        <w:snapToGrid w:val="0"/>
        <w:spacing w:line="360" w:lineRule="auto"/>
        <w:ind w:firstLineChars="200" w:firstLine="480"/>
        <w:rPr>
          <w:rFonts w:ascii="宋体" w:hAnsi="宋体"/>
          <w:bCs/>
          <w:sz w:val="24"/>
          <w:szCs w:val="24"/>
        </w:rPr>
      </w:pPr>
      <w:r w:rsidRPr="002245CA">
        <w:rPr>
          <w:rFonts w:ascii="宋体" w:hAnsi="宋体" w:hint="eastAsia"/>
          <w:bCs/>
          <w:sz w:val="24"/>
          <w:szCs w:val="24"/>
        </w:rPr>
        <w:t>（</w:t>
      </w:r>
      <w:r w:rsidRPr="002245CA">
        <w:rPr>
          <w:rFonts w:ascii="宋体" w:hAnsi="宋体"/>
          <w:bCs/>
          <w:sz w:val="24"/>
          <w:szCs w:val="24"/>
        </w:rPr>
        <w:t>5</w:t>
      </w:r>
      <w:r w:rsidRPr="002245CA">
        <w:rPr>
          <w:rFonts w:ascii="宋体" w:hAnsi="宋体" w:hint="eastAsia"/>
          <w:bCs/>
          <w:sz w:val="24"/>
          <w:szCs w:val="24"/>
        </w:rPr>
        <w:t>）购买房地产抵押按揭；</w:t>
      </w:r>
    </w:p>
    <w:p w14:paraId="1B48E89E" w14:textId="77777777" w:rsidR="00B4263A" w:rsidRPr="002245CA" w:rsidRDefault="00B4263A" w:rsidP="00B4263A">
      <w:pPr>
        <w:adjustRightInd w:val="0"/>
        <w:snapToGrid w:val="0"/>
        <w:spacing w:line="360" w:lineRule="auto"/>
        <w:ind w:firstLineChars="200" w:firstLine="480"/>
        <w:rPr>
          <w:rFonts w:ascii="宋体" w:hAnsi="宋体"/>
          <w:bCs/>
          <w:sz w:val="24"/>
          <w:szCs w:val="24"/>
        </w:rPr>
      </w:pPr>
      <w:r w:rsidRPr="002245CA">
        <w:rPr>
          <w:rFonts w:ascii="宋体" w:hAnsi="宋体" w:hint="eastAsia"/>
          <w:bCs/>
          <w:sz w:val="24"/>
          <w:szCs w:val="24"/>
        </w:rPr>
        <w:t>（</w:t>
      </w:r>
      <w:r w:rsidRPr="002245CA">
        <w:rPr>
          <w:rFonts w:ascii="宋体" w:hAnsi="宋体"/>
          <w:bCs/>
          <w:sz w:val="24"/>
          <w:szCs w:val="24"/>
        </w:rPr>
        <w:t>6</w:t>
      </w:r>
      <w:r w:rsidRPr="002245CA">
        <w:rPr>
          <w:rFonts w:ascii="宋体" w:hAnsi="宋体" w:hint="eastAsia"/>
          <w:bCs/>
          <w:sz w:val="24"/>
          <w:szCs w:val="24"/>
        </w:rPr>
        <w:t>）购买贵重金属或代表贵重金属的凭证；</w:t>
      </w:r>
    </w:p>
    <w:p w14:paraId="5710A846" w14:textId="77777777" w:rsidR="00B4263A" w:rsidRPr="002245CA" w:rsidRDefault="00B4263A" w:rsidP="00B4263A">
      <w:pPr>
        <w:adjustRightInd w:val="0"/>
        <w:snapToGrid w:val="0"/>
        <w:spacing w:line="360" w:lineRule="auto"/>
        <w:ind w:firstLineChars="200" w:firstLine="480"/>
        <w:rPr>
          <w:rFonts w:ascii="宋体" w:hAnsi="宋体"/>
          <w:bCs/>
          <w:sz w:val="24"/>
          <w:szCs w:val="24"/>
        </w:rPr>
      </w:pPr>
      <w:r w:rsidRPr="002245CA">
        <w:rPr>
          <w:rFonts w:ascii="宋体" w:hAnsi="宋体" w:hint="eastAsia"/>
          <w:bCs/>
          <w:sz w:val="24"/>
          <w:szCs w:val="24"/>
        </w:rPr>
        <w:t>（</w:t>
      </w:r>
      <w:r w:rsidRPr="002245CA">
        <w:rPr>
          <w:rFonts w:ascii="宋体" w:hAnsi="宋体"/>
          <w:bCs/>
          <w:sz w:val="24"/>
          <w:szCs w:val="24"/>
        </w:rPr>
        <w:t>7</w:t>
      </w:r>
      <w:r w:rsidRPr="002245CA">
        <w:rPr>
          <w:rFonts w:ascii="宋体" w:hAnsi="宋体" w:hint="eastAsia"/>
          <w:bCs/>
          <w:sz w:val="24"/>
          <w:szCs w:val="24"/>
        </w:rPr>
        <w:t>）购买实物商品；</w:t>
      </w:r>
    </w:p>
    <w:p w14:paraId="35146C15" w14:textId="77777777" w:rsidR="00B4263A" w:rsidRPr="002245CA" w:rsidRDefault="00B4263A" w:rsidP="00B4263A">
      <w:pPr>
        <w:adjustRightInd w:val="0"/>
        <w:snapToGrid w:val="0"/>
        <w:spacing w:line="360" w:lineRule="auto"/>
        <w:ind w:firstLineChars="200" w:firstLine="480"/>
        <w:rPr>
          <w:rFonts w:ascii="宋体" w:hAnsi="宋体"/>
          <w:bCs/>
          <w:sz w:val="24"/>
          <w:szCs w:val="24"/>
        </w:rPr>
      </w:pPr>
      <w:r w:rsidRPr="002245CA">
        <w:rPr>
          <w:rFonts w:ascii="宋体" w:hAnsi="宋体" w:hint="eastAsia"/>
          <w:bCs/>
          <w:sz w:val="24"/>
          <w:szCs w:val="24"/>
        </w:rPr>
        <w:t>（</w:t>
      </w:r>
      <w:r w:rsidRPr="002245CA">
        <w:rPr>
          <w:rFonts w:ascii="宋体" w:hAnsi="宋体"/>
          <w:bCs/>
          <w:sz w:val="24"/>
          <w:szCs w:val="24"/>
        </w:rPr>
        <w:t>8</w:t>
      </w:r>
      <w:r w:rsidRPr="002245CA">
        <w:rPr>
          <w:rFonts w:ascii="宋体" w:hAnsi="宋体" w:hint="eastAsia"/>
          <w:bCs/>
          <w:sz w:val="24"/>
          <w:szCs w:val="24"/>
        </w:rPr>
        <w:t>）除应付赎回、交易清算等临时用途以外，借入现金；该临时用途借入现金的比例不得超过基金资产净值的</w:t>
      </w:r>
      <w:r w:rsidRPr="002245CA">
        <w:rPr>
          <w:rFonts w:ascii="宋体" w:hAnsi="宋体"/>
          <w:bCs/>
          <w:sz w:val="24"/>
          <w:szCs w:val="24"/>
        </w:rPr>
        <w:t>10%</w:t>
      </w:r>
      <w:r w:rsidRPr="002245CA">
        <w:rPr>
          <w:rFonts w:ascii="宋体" w:hAnsi="宋体" w:hint="eastAsia"/>
          <w:bCs/>
          <w:sz w:val="24"/>
          <w:szCs w:val="24"/>
        </w:rPr>
        <w:t>；</w:t>
      </w:r>
    </w:p>
    <w:p w14:paraId="6B83359F" w14:textId="77777777" w:rsidR="00B4263A" w:rsidRPr="002245CA" w:rsidRDefault="00B4263A" w:rsidP="00B4263A">
      <w:pPr>
        <w:adjustRightInd w:val="0"/>
        <w:snapToGrid w:val="0"/>
        <w:spacing w:line="360" w:lineRule="auto"/>
        <w:ind w:firstLineChars="200" w:firstLine="480"/>
        <w:rPr>
          <w:rFonts w:ascii="宋体" w:hAnsi="宋体"/>
          <w:bCs/>
          <w:sz w:val="24"/>
          <w:szCs w:val="24"/>
        </w:rPr>
      </w:pPr>
      <w:r w:rsidRPr="002245CA">
        <w:rPr>
          <w:rFonts w:ascii="宋体" w:hAnsi="宋体" w:hint="eastAsia"/>
          <w:bCs/>
          <w:sz w:val="24"/>
          <w:szCs w:val="24"/>
        </w:rPr>
        <w:t>（</w:t>
      </w:r>
      <w:r w:rsidRPr="002245CA">
        <w:rPr>
          <w:rFonts w:ascii="宋体" w:hAnsi="宋体"/>
          <w:bCs/>
          <w:sz w:val="24"/>
          <w:szCs w:val="24"/>
        </w:rPr>
        <w:t>9</w:t>
      </w:r>
      <w:r w:rsidRPr="002245CA">
        <w:rPr>
          <w:rFonts w:ascii="宋体" w:hAnsi="宋体" w:hint="eastAsia"/>
          <w:bCs/>
          <w:sz w:val="24"/>
          <w:szCs w:val="24"/>
        </w:rPr>
        <w:t>）利用融资购买证券，但投资金融衍生品除外；</w:t>
      </w:r>
    </w:p>
    <w:p w14:paraId="23AD065B" w14:textId="77777777" w:rsidR="00B4263A" w:rsidRPr="002245CA" w:rsidRDefault="00B4263A" w:rsidP="00B4263A">
      <w:pPr>
        <w:adjustRightInd w:val="0"/>
        <w:snapToGrid w:val="0"/>
        <w:spacing w:line="360" w:lineRule="auto"/>
        <w:ind w:firstLineChars="200" w:firstLine="480"/>
        <w:rPr>
          <w:rFonts w:ascii="宋体" w:hAnsi="宋体"/>
          <w:bCs/>
          <w:sz w:val="24"/>
          <w:szCs w:val="24"/>
        </w:rPr>
      </w:pPr>
      <w:r w:rsidRPr="002245CA">
        <w:rPr>
          <w:rFonts w:ascii="宋体" w:hAnsi="宋体" w:hint="eastAsia"/>
          <w:bCs/>
          <w:sz w:val="24"/>
          <w:szCs w:val="24"/>
        </w:rPr>
        <w:t>（</w:t>
      </w:r>
      <w:r w:rsidRPr="002245CA">
        <w:rPr>
          <w:rFonts w:ascii="宋体" w:hAnsi="宋体"/>
          <w:bCs/>
          <w:sz w:val="24"/>
          <w:szCs w:val="24"/>
        </w:rPr>
        <w:t>10</w:t>
      </w:r>
      <w:r w:rsidRPr="002245CA">
        <w:rPr>
          <w:rFonts w:ascii="宋体" w:hAnsi="宋体" w:hint="eastAsia"/>
          <w:bCs/>
          <w:sz w:val="24"/>
          <w:szCs w:val="24"/>
        </w:rPr>
        <w:t>）参与未持有基础资产的卖空交易；</w:t>
      </w:r>
    </w:p>
    <w:p w14:paraId="3FD9929F" w14:textId="77777777" w:rsidR="00B4263A" w:rsidRPr="002245CA" w:rsidRDefault="00B4263A" w:rsidP="00B4263A">
      <w:pPr>
        <w:adjustRightInd w:val="0"/>
        <w:snapToGrid w:val="0"/>
        <w:spacing w:line="360" w:lineRule="auto"/>
        <w:ind w:firstLineChars="200" w:firstLine="480"/>
        <w:rPr>
          <w:rFonts w:ascii="宋体" w:hAnsi="宋体"/>
          <w:bCs/>
          <w:sz w:val="24"/>
          <w:szCs w:val="24"/>
        </w:rPr>
      </w:pPr>
      <w:r w:rsidRPr="002245CA">
        <w:rPr>
          <w:rFonts w:ascii="宋体" w:hAnsi="宋体" w:hint="eastAsia"/>
          <w:bCs/>
          <w:sz w:val="24"/>
          <w:szCs w:val="24"/>
        </w:rPr>
        <w:t>（</w:t>
      </w:r>
      <w:r w:rsidRPr="002245CA">
        <w:rPr>
          <w:rFonts w:ascii="宋体" w:hAnsi="宋体"/>
          <w:bCs/>
          <w:sz w:val="24"/>
          <w:szCs w:val="24"/>
        </w:rPr>
        <w:t>11</w:t>
      </w:r>
      <w:r w:rsidRPr="002245CA">
        <w:rPr>
          <w:rFonts w:ascii="宋体" w:hAnsi="宋体" w:hint="eastAsia"/>
          <w:bCs/>
          <w:sz w:val="24"/>
          <w:szCs w:val="24"/>
        </w:rPr>
        <w:t>）购买证券用于控制或影响发行该证券的机构或其管理层；</w:t>
      </w:r>
    </w:p>
    <w:p w14:paraId="18DAB521" w14:textId="77777777" w:rsidR="00B4263A" w:rsidRPr="002245CA" w:rsidRDefault="00B4263A" w:rsidP="00B4263A">
      <w:pPr>
        <w:adjustRightInd w:val="0"/>
        <w:snapToGrid w:val="0"/>
        <w:spacing w:line="360" w:lineRule="auto"/>
        <w:ind w:firstLineChars="200" w:firstLine="480"/>
        <w:rPr>
          <w:rFonts w:ascii="宋体" w:hAnsi="宋体"/>
          <w:bCs/>
          <w:sz w:val="24"/>
          <w:szCs w:val="24"/>
        </w:rPr>
      </w:pPr>
      <w:r w:rsidRPr="002245CA">
        <w:rPr>
          <w:rFonts w:ascii="宋体" w:hAnsi="宋体" w:hint="eastAsia"/>
          <w:bCs/>
          <w:sz w:val="24"/>
          <w:szCs w:val="24"/>
        </w:rPr>
        <w:t>（</w:t>
      </w:r>
      <w:r w:rsidRPr="002245CA">
        <w:rPr>
          <w:rFonts w:ascii="宋体" w:hAnsi="宋体"/>
          <w:bCs/>
          <w:sz w:val="24"/>
          <w:szCs w:val="24"/>
        </w:rPr>
        <w:t>12</w:t>
      </w:r>
      <w:r w:rsidRPr="002245CA">
        <w:rPr>
          <w:rFonts w:ascii="宋体" w:hAnsi="宋体" w:hint="eastAsia"/>
          <w:bCs/>
          <w:sz w:val="24"/>
          <w:szCs w:val="24"/>
        </w:rPr>
        <w:t>）直接投资与实物商品相关的衍生品；</w:t>
      </w:r>
    </w:p>
    <w:p w14:paraId="196384E3" w14:textId="77777777" w:rsidR="00B4263A" w:rsidRPr="002245CA" w:rsidRDefault="00B4263A" w:rsidP="00B4263A">
      <w:pPr>
        <w:adjustRightInd w:val="0"/>
        <w:snapToGrid w:val="0"/>
        <w:spacing w:line="360" w:lineRule="auto"/>
        <w:ind w:firstLineChars="200" w:firstLine="480"/>
        <w:rPr>
          <w:rFonts w:ascii="宋体" w:hAnsi="宋体"/>
          <w:bCs/>
          <w:sz w:val="24"/>
          <w:szCs w:val="24"/>
        </w:rPr>
      </w:pPr>
      <w:r w:rsidRPr="002245CA">
        <w:rPr>
          <w:rFonts w:ascii="宋体" w:hAnsi="宋体" w:hint="eastAsia"/>
          <w:bCs/>
          <w:sz w:val="24"/>
          <w:szCs w:val="24"/>
        </w:rPr>
        <w:t>（</w:t>
      </w:r>
      <w:r w:rsidRPr="002245CA">
        <w:rPr>
          <w:rFonts w:ascii="宋体" w:hAnsi="宋体"/>
          <w:bCs/>
          <w:sz w:val="24"/>
          <w:szCs w:val="24"/>
        </w:rPr>
        <w:t>13</w:t>
      </w:r>
      <w:r w:rsidRPr="002245CA">
        <w:rPr>
          <w:rFonts w:ascii="宋体" w:hAnsi="宋体" w:hint="eastAsia"/>
          <w:bCs/>
          <w:sz w:val="24"/>
          <w:szCs w:val="24"/>
        </w:rPr>
        <w:t>）向其基金管理人、基金托管人出资；</w:t>
      </w:r>
    </w:p>
    <w:p w14:paraId="19EDC066" w14:textId="77777777" w:rsidR="00B4263A" w:rsidRPr="002245CA" w:rsidRDefault="00B4263A" w:rsidP="00B4263A">
      <w:pPr>
        <w:adjustRightInd w:val="0"/>
        <w:snapToGrid w:val="0"/>
        <w:spacing w:line="360" w:lineRule="auto"/>
        <w:ind w:firstLineChars="200" w:firstLine="480"/>
        <w:rPr>
          <w:rFonts w:ascii="宋体" w:hAnsi="宋体"/>
          <w:bCs/>
          <w:sz w:val="24"/>
          <w:szCs w:val="24"/>
        </w:rPr>
      </w:pPr>
      <w:r w:rsidRPr="002245CA">
        <w:rPr>
          <w:rFonts w:ascii="宋体" w:hAnsi="宋体" w:hint="eastAsia"/>
          <w:bCs/>
          <w:sz w:val="24"/>
          <w:szCs w:val="24"/>
        </w:rPr>
        <w:t>（</w:t>
      </w:r>
      <w:r w:rsidRPr="002245CA">
        <w:rPr>
          <w:rFonts w:ascii="宋体" w:hAnsi="宋体"/>
          <w:bCs/>
          <w:sz w:val="24"/>
          <w:szCs w:val="24"/>
        </w:rPr>
        <w:t>14</w:t>
      </w:r>
      <w:r w:rsidRPr="002245CA">
        <w:rPr>
          <w:rFonts w:ascii="宋体" w:hAnsi="宋体" w:hint="eastAsia"/>
          <w:bCs/>
          <w:sz w:val="24"/>
          <w:szCs w:val="24"/>
        </w:rPr>
        <w:t>）从事内幕交易、操纵证券交易价格及其他不正当的证券交易活动；</w:t>
      </w:r>
    </w:p>
    <w:p w14:paraId="6258A718" w14:textId="0CEE2073" w:rsidR="00E3116F" w:rsidRPr="00B4263A" w:rsidRDefault="00B4263A" w:rsidP="00F13072">
      <w:pPr>
        <w:adjustRightInd w:val="0"/>
        <w:snapToGrid w:val="0"/>
        <w:spacing w:line="360" w:lineRule="auto"/>
        <w:ind w:firstLineChars="200" w:firstLine="480"/>
        <w:rPr>
          <w:rFonts w:ascii="宋体" w:hAnsi="宋体"/>
          <w:bCs/>
          <w:sz w:val="24"/>
          <w:szCs w:val="24"/>
        </w:rPr>
      </w:pPr>
      <w:r w:rsidRPr="002245CA">
        <w:rPr>
          <w:rFonts w:ascii="宋体" w:hAnsi="宋体" w:hint="eastAsia"/>
          <w:bCs/>
          <w:sz w:val="24"/>
          <w:szCs w:val="24"/>
        </w:rPr>
        <w:t>（</w:t>
      </w:r>
      <w:r w:rsidRPr="002245CA">
        <w:rPr>
          <w:rFonts w:ascii="宋体" w:hAnsi="宋体"/>
          <w:bCs/>
          <w:sz w:val="24"/>
          <w:szCs w:val="24"/>
        </w:rPr>
        <w:t>15</w:t>
      </w:r>
      <w:r w:rsidRPr="002245CA">
        <w:rPr>
          <w:rFonts w:ascii="宋体" w:hAnsi="宋体" w:hint="eastAsia"/>
          <w:bCs/>
          <w:sz w:val="24"/>
          <w:szCs w:val="24"/>
        </w:rPr>
        <w:t>）法律、行政法规和中国证监会规定禁止的其他活动。</w:t>
      </w:r>
      <w:r w:rsidDel="00B4263A">
        <w:rPr>
          <w:rFonts w:ascii="宋体" w:hAnsi="宋体" w:cs="Arial" w:hint="eastAsia"/>
          <w:sz w:val="24"/>
        </w:rPr>
        <w:t xml:space="preserve"> </w:t>
      </w:r>
    </w:p>
    <w:p w14:paraId="7E0F35E8" w14:textId="77777777" w:rsidR="00E3116F" w:rsidRDefault="00821F7A" w:rsidP="00F13072">
      <w:pPr>
        <w:spacing w:line="360" w:lineRule="auto"/>
        <w:ind w:firstLineChars="200" w:firstLine="480"/>
        <w:rPr>
          <w:rFonts w:ascii="宋体" w:hAnsi="宋体"/>
          <w:sz w:val="24"/>
        </w:rPr>
      </w:pPr>
      <w:r>
        <w:rPr>
          <w:rFonts w:ascii="宋体" w:hAnsi="宋体" w:cs="Arial" w:hint="eastAsia"/>
          <w:sz w:val="24"/>
        </w:rPr>
        <w:t>（十）法律法规和《基金合同》禁止的其他行为，以及</w:t>
      </w:r>
      <w:r>
        <w:rPr>
          <w:rFonts w:ascii="宋体" w:hAnsi="宋体" w:hint="eastAsia"/>
          <w:sz w:val="24"/>
        </w:rPr>
        <w:t>法律、行政法规和中国证监会规定禁止基金管理人、基金托管人从事的其他行为。</w:t>
      </w:r>
    </w:p>
    <w:p w14:paraId="2893FE98" w14:textId="77777777" w:rsidR="00E3116F" w:rsidRDefault="00E3116F">
      <w:pPr>
        <w:adjustRightInd w:val="0"/>
        <w:snapToGrid w:val="0"/>
        <w:spacing w:line="360" w:lineRule="auto"/>
        <w:ind w:firstLineChars="200" w:firstLine="480"/>
        <w:outlineLvl w:val="0"/>
        <w:rPr>
          <w:rFonts w:ascii="宋体" w:hAnsi="宋体" w:cs="Arial"/>
          <w:sz w:val="24"/>
        </w:rPr>
      </w:pPr>
    </w:p>
    <w:p w14:paraId="509AC3B1" w14:textId="77777777" w:rsidR="00E3116F" w:rsidRDefault="00821F7A">
      <w:pPr>
        <w:pStyle w:val="2"/>
        <w:spacing w:line="360" w:lineRule="auto"/>
        <w:jc w:val="center"/>
        <w:rPr>
          <w:rFonts w:ascii="宋体" w:eastAsia="宋体" w:hAnsi="宋体"/>
          <w:sz w:val="30"/>
        </w:rPr>
      </w:pPr>
      <w:bookmarkStart w:id="112" w:name="_Toc516758910"/>
      <w:r>
        <w:rPr>
          <w:rFonts w:ascii="宋体" w:eastAsia="宋体" w:hAnsi="宋体" w:hint="eastAsia"/>
          <w:sz w:val="30"/>
        </w:rPr>
        <w:t>十六、托管协议的变更、终止与基金财产的清算</w:t>
      </w:r>
      <w:bookmarkEnd w:id="112"/>
    </w:p>
    <w:p w14:paraId="5C523929"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（一）托管协议的变更程序</w:t>
      </w:r>
    </w:p>
    <w:p w14:paraId="5967CE42" w14:textId="77777777" w:rsidR="00E3116F" w:rsidRDefault="00821F7A">
      <w:pPr>
        <w:adjustRightInd w:val="0"/>
        <w:snapToGrid w:val="0"/>
        <w:spacing w:line="360" w:lineRule="auto"/>
        <w:ind w:firstLineChars="200" w:firstLine="480"/>
        <w:rPr>
          <w:rFonts w:ascii="宋体" w:hAnsi="宋体"/>
          <w:sz w:val="30"/>
          <w:szCs w:val="30"/>
        </w:rPr>
      </w:pPr>
      <w:r>
        <w:rPr>
          <w:rFonts w:ascii="宋体" w:hAnsi="宋体" w:cs="Arial" w:hint="eastAsia"/>
          <w:sz w:val="24"/>
        </w:rPr>
        <w:t>本协议双方当事人经协商一致，可以对协议进行修改。修改后的新协议，其内容不得与《基金合同》的规定有任何冲突。</w:t>
      </w:r>
    </w:p>
    <w:p w14:paraId="7E60972F"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（二）托管协议终止的情形</w:t>
      </w:r>
    </w:p>
    <w:p w14:paraId="5A94E4C7"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1.《基金合同》终止；</w:t>
      </w:r>
    </w:p>
    <w:p w14:paraId="1D198621"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2.基金托管人解散、依法被撤销、破产或由其他基金托管人接管基金资产；</w:t>
      </w:r>
    </w:p>
    <w:p w14:paraId="773B5FAD"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3.基金管理人解散、依法被撤销、破产或由其他基金管理人接管基金管理权；</w:t>
      </w:r>
    </w:p>
    <w:p w14:paraId="3BD258D3"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4.发生法律法规或《基金合同》规定的终止事项。</w:t>
      </w:r>
    </w:p>
    <w:p w14:paraId="0FA65C90" w14:textId="77777777" w:rsidR="00E3116F" w:rsidRDefault="00821F7A">
      <w:pPr>
        <w:adjustRightInd w:val="0"/>
        <w:snapToGrid w:val="0"/>
        <w:spacing w:line="360" w:lineRule="auto"/>
        <w:ind w:firstLineChars="200" w:firstLine="480"/>
        <w:rPr>
          <w:rFonts w:ascii="宋体" w:hAnsi="宋体" w:cs="Arial"/>
          <w:sz w:val="24"/>
        </w:rPr>
      </w:pPr>
      <w:bookmarkStart w:id="113" w:name="_Hlk172127781"/>
      <w:r>
        <w:rPr>
          <w:rFonts w:ascii="宋体" w:hAnsi="宋体" w:cs="Arial" w:hint="eastAsia"/>
          <w:sz w:val="24"/>
        </w:rPr>
        <w:lastRenderedPageBreak/>
        <w:t>（三）基金财产的清算</w:t>
      </w:r>
    </w:p>
    <w:p w14:paraId="7C39C5D8"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1.基金财产清算小组：基金合同终止事由出现后，基金管理人组织基金财产清算小组并在中国证监会的监督下进行基金清算。</w:t>
      </w:r>
    </w:p>
    <w:p w14:paraId="4F67DEE3"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2.基金财产清算小组组成：基金财产清算小组成员由基金管理人、基金托管人、符合《中华人民共和国证券法》规定的注册会计师、律师以及中国证监会指定的人员组成。基金财产清算小组可以聘用必要的工作人员。</w:t>
      </w:r>
    </w:p>
    <w:p w14:paraId="5EDE8833"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3.基金财产清算小组职责：基金财产清算小组负责基金财产的保管、清理、估价、变现和分配。基金财产清算小组可以依法进行必要的民事活动。</w:t>
      </w:r>
    </w:p>
    <w:p w14:paraId="1A1BEF49"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4.基金财产清算程序：</w:t>
      </w:r>
    </w:p>
    <w:p w14:paraId="3CB7866E"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（1）基金合同终止情形出现时，由基金财产清算小组统一接管基金财产；</w:t>
      </w:r>
    </w:p>
    <w:p w14:paraId="67AD0BAA"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（2）对基金财产和债权债务进行清理和确认；</w:t>
      </w:r>
    </w:p>
    <w:p w14:paraId="74A57390"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（3）对基金财产进行估值和变现；</w:t>
      </w:r>
    </w:p>
    <w:p w14:paraId="0A4F505B"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（4）制作清算报告；</w:t>
      </w:r>
    </w:p>
    <w:p w14:paraId="1FCA5C0C"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（5）聘请会计师事务所对清算报告进行外部审计，聘请律师事务所对清算报告出具法律意见书；</w:t>
      </w:r>
    </w:p>
    <w:p w14:paraId="3139F98C"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（6）将清算报告报中国证监会备案并公告；</w:t>
      </w:r>
    </w:p>
    <w:p w14:paraId="18274AC0"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（7）对基金剩余财产进行分配。</w:t>
      </w:r>
    </w:p>
    <w:p w14:paraId="366B67E4"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5.基金财产清算的期限为6个月，但因本基金所持证券的流动性受到限制而不能及时变现的，清算期限相应顺延。</w:t>
      </w:r>
    </w:p>
    <w:p w14:paraId="517D5BE3"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6</w:t>
      </w:r>
      <w:r>
        <w:rPr>
          <w:rFonts w:ascii="宋体" w:hAnsi="宋体" w:cs="Arial"/>
          <w:sz w:val="24"/>
        </w:rPr>
        <w:t>.</w:t>
      </w:r>
      <w:r>
        <w:rPr>
          <w:rFonts w:ascii="宋体" w:hAnsi="宋体" w:cs="Arial" w:hint="eastAsia"/>
          <w:sz w:val="24"/>
        </w:rPr>
        <w:t>清算费用</w:t>
      </w:r>
    </w:p>
    <w:p w14:paraId="513AE6EF"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清算费用是指基金财产清算小组在进行基金清算过程中发生的所有合理费用，清算费用由基金财产清算小组优先从基金剩余财产中支付。</w:t>
      </w:r>
    </w:p>
    <w:p w14:paraId="5BBA4600"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7</w:t>
      </w:r>
      <w:r>
        <w:rPr>
          <w:rFonts w:ascii="宋体" w:hAnsi="宋体" w:cs="Arial"/>
          <w:sz w:val="24"/>
        </w:rPr>
        <w:t>.</w:t>
      </w:r>
      <w:r>
        <w:rPr>
          <w:rFonts w:ascii="宋体" w:hAnsi="宋体" w:cs="Arial" w:hint="eastAsia"/>
          <w:sz w:val="24"/>
        </w:rPr>
        <w:t>基金财产清算剩余资产的分配</w:t>
      </w:r>
    </w:p>
    <w:p w14:paraId="141C4C6A"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依据基金财产清算的分配方案，将基金财产清算后的全部剩余资产扣除基金财产清算费用、交纳所欠税款并清偿基金债务后，按基金份额持有人持有的基金份额比例进行分配，并加上或扣除相应的或有管理费或超额管理费 （如有）。</w:t>
      </w:r>
    </w:p>
    <w:p w14:paraId="1CAC2CE4" w14:textId="68C70284"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8</w:t>
      </w:r>
      <w:r>
        <w:rPr>
          <w:rFonts w:ascii="宋体" w:hAnsi="宋体" w:cs="Arial"/>
          <w:sz w:val="24"/>
        </w:rPr>
        <w:t>.</w:t>
      </w:r>
      <w:r>
        <w:rPr>
          <w:rFonts w:ascii="宋体" w:hAnsi="宋体" w:cs="Arial" w:hint="eastAsia"/>
          <w:sz w:val="24"/>
        </w:rPr>
        <w:t>基金财产清算的公告</w:t>
      </w:r>
    </w:p>
    <w:p w14:paraId="1442EB04"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清算过程中的有关重大事项须及时公告；基金财产清算报告经符合《中华人民共和国证券法》规定的会计师事务所审计，律师事务所出具法律意见书后，由基金财产清算小组报中国证监会备案并公告，基金财产清算小组应当将清算报告登载</w:t>
      </w:r>
      <w:r>
        <w:rPr>
          <w:rFonts w:ascii="宋体" w:hAnsi="宋体" w:cs="Arial" w:hint="eastAsia"/>
          <w:sz w:val="24"/>
        </w:rPr>
        <w:lastRenderedPageBreak/>
        <w:t>在规定网站上，并将清算报告提示性公告登载在规定报刊上。</w:t>
      </w:r>
    </w:p>
    <w:p w14:paraId="663EB72B"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9</w:t>
      </w:r>
      <w:r>
        <w:rPr>
          <w:rFonts w:ascii="宋体" w:hAnsi="宋体" w:cs="Arial"/>
          <w:sz w:val="24"/>
        </w:rPr>
        <w:t>.</w:t>
      </w:r>
      <w:r>
        <w:rPr>
          <w:rFonts w:ascii="宋体" w:hAnsi="宋体" w:cs="Arial" w:hint="eastAsia"/>
          <w:sz w:val="24"/>
        </w:rPr>
        <w:t>基金财产清算账册及文件的保存</w:t>
      </w:r>
    </w:p>
    <w:p w14:paraId="0F05C7BD"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基金财产清算账册及有关文件由基金托管人保存，保存期限不少于法律法规的规定。</w:t>
      </w:r>
    </w:p>
    <w:bookmarkEnd w:id="113"/>
    <w:p w14:paraId="6BCC4C57" w14:textId="77777777" w:rsidR="00E3116F" w:rsidRDefault="00E3116F">
      <w:pPr>
        <w:adjustRightInd w:val="0"/>
        <w:snapToGrid w:val="0"/>
        <w:spacing w:line="360" w:lineRule="auto"/>
        <w:rPr>
          <w:rFonts w:ascii="宋体" w:hAnsi="宋体" w:cs="Arial"/>
          <w:sz w:val="24"/>
        </w:rPr>
      </w:pPr>
    </w:p>
    <w:p w14:paraId="179985AB" w14:textId="77777777" w:rsidR="00E3116F" w:rsidRDefault="00821F7A">
      <w:pPr>
        <w:pStyle w:val="2"/>
        <w:spacing w:line="360" w:lineRule="auto"/>
        <w:jc w:val="center"/>
        <w:rPr>
          <w:rFonts w:ascii="宋体" w:eastAsia="宋体" w:hAnsi="宋体"/>
          <w:sz w:val="30"/>
        </w:rPr>
      </w:pPr>
      <w:bookmarkStart w:id="114" w:name="_Toc516758911"/>
      <w:r>
        <w:rPr>
          <w:rFonts w:ascii="宋体" w:eastAsia="宋体" w:hAnsi="宋体" w:hint="eastAsia"/>
          <w:sz w:val="30"/>
        </w:rPr>
        <w:t>十七、违约责任</w:t>
      </w:r>
      <w:bookmarkEnd w:id="114"/>
    </w:p>
    <w:p w14:paraId="77A99F80" w14:textId="77777777" w:rsidR="00E3116F" w:rsidRDefault="00821F7A">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（一）基金管理人、基金托管人不履行本协议或履行本协议不符合约定的，应当承担违约责任。</w:t>
      </w:r>
    </w:p>
    <w:p w14:paraId="4158DC0C" w14:textId="77777777" w:rsidR="00E3116F" w:rsidRDefault="00821F7A">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二）基金管理人、基金托管人在履行各自职责的过程中，违反《基金法》等法律法规的规定或者《基金合同》和本托管协议约定，给基金财产或者基金份额持有人造成损害的，应当分别对各自的行为依法承担赔偿责任；因共同行为给基金财产或者基金份额持有人造成损害的，应当承担连带赔偿责任。对损失的赔偿，仅限于直接损失。</w:t>
      </w:r>
    </w:p>
    <w:p w14:paraId="08FE9D97" w14:textId="77777777" w:rsidR="00E3116F" w:rsidRDefault="00821F7A">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2AF06C8B"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1.不可抗力；</w:t>
      </w:r>
    </w:p>
    <w:p w14:paraId="6480DD4C" w14:textId="5318DE81"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2.</w:t>
      </w:r>
      <w:r w:rsidR="008A3C41" w:rsidRPr="00F13072">
        <w:rPr>
          <w:rFonts w:ascii="宋体" w:hAnsi="宋体" w:cs="Arial"/>
          <w:sz w:val="24"/>
        </w:rPr>
        <w:t>基金管理人和/或基金托管人按照当时有效的法律法规或中国证监会等监管机构的规定</w:t>
      </w:r>
      <w:r w:rsidR="008A3C41" w:rsidRPr="008A3C41">
        <w:rPr>
          <w:rFonts w:ascii="宋体" w:hAnsi="宋体" w:cs="Arial"/>
          <w:sz w:val="24"/>
        </w:rPr>
        <w:t>以及基金财产投资所在地法律法规、监管要求、证券市场规则或市场惯例</w:t>
      </w:r>
      <w:r w:rsidR="008A3C41" w:rsidRPr="00F13072">
        <w:rPr>
          <w:rFonts w:ascii="宋体" w:hAnsi="宋体" w:cs="Arial"/>
          <w:sz w:val="24"/>
        </w:rPr>
        <w:t>作为或不作为而造成的损失等</w:t>
      </w:r>
      <w:r>
        <w:rPr>
          <w:rFonts w:ascii="宋体" w:hAnsi="宋体" w:cs="Arial" w:hint="eastAsia"/>
          <w:sz w:val="24"/>
        </w:rPr>
        <w:t>；</w:t>
      </w:r>
    </w:p>
    <w:p w14:paraId="201ED9A9" w14:textId="7BCA054A" w:rsidR="00F824BC"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3.在没有过错的情况下，基金管理人由于按照《基金合同》规定的投资原则投资或不投资造成的直接损失或潜在损失等；</w:t>
      </w:r>
    </w:p>
    <w:p w14:paraId="1B3CBFAF" w14:textId="7C156CA9" w:rsidR="0075217C" w:rsidRPr="00F824BC" w:rsidRDefault="0075217C" w:rsidP="00F824BC">
      <w:pPr>
        <w:adjustRightInd w:val="0"/>
        <w:snapToGrid w:val="0"/>
        <w:spacing w:line="360" w:lineRule="auto"/>
        <w:ind w:firstLineChars="200" w:firstLine="480"/>
        <w:rPr>
          <w:rFonts w:ascii="宋体" w:hAnsi="宋体" w:cs="Arial"/>
          <w:sz w:val="24"/>
        </w:rPr>
      </w:pPr>
      <w:r w:rsidRPr="00F824BC">
        <w:rPr>
          <w:rFonts w:ascii="宋体" w:hAnsi="宋体" w:cs="Arial" w:hint="eastAsia"/>
          <w:sz w:val="24"/>
        </w:rPr>
        <w:t>4.非因基金管理人、基金托管人的故意或重大过失造成的计算机系统故障、网络故障、通讯故障、电力故障、计算机病毒攻击及其它意外事故所导致的损失等。</w:t>
      </w:r>
    </w:p>
    <w:p w14:paraId="04924C3C" w14:textId="77777777" w:rsidR="0075217C" w:rsidRPr="00F824BC" w:rsidRDefault="0075217C" w:rsidP="00F824BC">
      <w:pPr>
        <w:adjustRightInd w:val="0"/>
        <w:snapToGrid w:val="0"/>
        <w:spacing w:line="360" w:lineRule="auto"/>
        <w:ind w:firstLineChars="200" w:firstLine="480"/>
        <w:rPr>
          <w:rFonts w:ascii="宋体" w:hAnsi="宋体" w:cs="Arial"/>
          <w:sz w:val="24"/>
        </w:rPr>
      </w:pPr>
      <w:r w:rsidRPr="00F824BC">
        <w:rPr>
          <w:rFonts w:ascii="宋体" w:hAnsi="宋体" w:cs="Arial"/>
          <w:sz w:val="24"/>
        </w:rPr>
        <w:t>5</w:t>
      </w:r>
      <w:r w:rsidRPr="00F824BC">
        <w:rPr>
          <w:rFonts w:ascii="宋体" w:hAnsi="宋体" w:cs="Arial" w:hint="eastAsia"/>
          <w:sz w:val="24"/>
        </w:rPr>
        <w:t>.非因基金管理人或基金托管人的原因，境内外相关监管机构、证券交易所、证券登记存管机构或其他有权第三方依据法律法规和市场惯例对基金资产实施冻结、扣押、质押或施加其他权利负担；在可行的前提下，基金管理人和基金托管人将提出抗辩或采取其他合理措施以保护基金资产安全。</w:t>
      </w:r>
    </w:p>
    <w:p w14:paraId="7C5C0F6B" w14:textId="65EE2338" w:rsidR="00E3116F" w:rsidRPr="00F824BC" w:rsidRDefault="0075217C" w:rsidP="00F824BC">
      <w:pPr>
        <w:adjustRightInd w:val="0"/>
        <w:snapToGrid w:val="0"/>
        <w:spacing w:line="360" w:lineRule="auto"/>
        <w:ind w:firstLineChars="200" w:firstLine="480"/>
        <w:rPr>
          <w:rFonts w:ascii="宋体" w:hAnsi="宋体" w:cs="Arial"/>
          <w:sz w:val="24"/>
          <w:lang w:val="x-none"/>
        </w:rPr>
      </w:pPr>
      <w:r w:rsidRPr="00F824BC">
        <w:rPr>
          <w:rFonts w:ascii="宋体" w:hAnsi="宋体" w:cs="Arial"/>
          <w:sz w:val="24"/>
        </w:rPr>
        <w:lastRenderedPageBreak/>
        <w:t>6</w:t>
      </w:r>
      <w:r w:rsidRPr="00F824BC">
        <w:rPr>
          <w:rFonts w:ascii="宋体" w:hAnsi="宋体" w:cs="Arial" w:hint="eastAsia"/>
          <w:sz w:val="24"/>
        </w:rPr>
        <w:t>.根据当地法律法规和市场惯例，基金管理人理解并同意，存放于境外银行的现金及存款（包括存放于境外托管人账户的现金及存款）构成该机构的等额无担保债务，除非法律法规及撤销或清盘程序明文规定该等现金及存款不归于清算财产外。该等现金及存款归入其清算财产并不视为基金托管人违反本协议的规定。</w:t>
      </w:r>
    </w:p>
    <w:p w14:paraId="72C87BFF"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1049D6DB" w14:textId="77777777" w:rsidR="00E3116F" w:rsidRDefault="00821F7A">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（五）违约行为虽已发生，但本托管协议能够继续履行的，在最大限度地保护基金份额持有人利益的前提下，基金管理人和基金托管人应当继续履行本协议。</w:t>
      </w:r>
    </w:p>
    <w:p w14:paraId="7BC454B7" w14:textId="12E0E481" w:rsidR="00E3116F" w:rsidRDefault="00821F7A">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（六）由于基金管理人、基金托管人</w:t>
      </w:r>
      <w:r w:rsidR="00247AFC">
        <w:rPr>
          <w:rFonts w:ascii="宋体" w:hAnsi="宋体" w:hint="eastAsia"/>
          <w:bCs/>
          <w:sz w:val="24"/>
        </w:rPr>
        <w:t>（包括境外托管人）</w:t>
      </w:r>
      <w:r>
        <w:rPr>
          <w:rFonts w:ascii="宋体" w:hAnsi="宋体" w:cs="Arial" w:hint="eastAsia"/>
          <w:sz w:val="24"/>
        </w:rPr>
        <w:t>不可控制的因素导致业务出现差错，基金管理人和基金托管人虽然已经采取必要、适当、合理的措施进行检查，但是未能发现错误或未能避免错误发生的，由此造成基金财产或投资人损失，基金管理人和基金托管人免除赔偿责任。但是基金管理人和基金托管人应积极采取必要的措施减轻或消除由此造成的影响。</w:t>
      </w:r>
    </w:p>
    <w:p w14:paraId="32D87B3C" w14:textId="351879CA" w:rsidR="00790E70" w:rsidRPr="00F824BC" w:rsidRDefault="0098167F" w:rsidP="00F824BC">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（七）</w:t>
      </w:r>
      <w:r w:rsidR="00790E70" w:rsidRPr="00F824BC">
        <w:rPr>
          <w:rFonts w:ascii="宋体" w:hAnsi="宋体" w:cs="Arial" w:hint="eastAsia"/>
          <w:sz w:val="24"/>
        </w:rPr>
        <w:t>境外投资顾问、境外托管人是否存在过错、疏忽行为，应根据相关当事人之间的协议约定的适用法律以及当地的证券市场惯例，依照约定的诉讼或仲裁程序决定。如根据上述适用法律及市场惯例，境外投资顾问、境外托管人某些导致本计划资产受损的行为不被视为过错、疏忽行为，则基金管理人和基金托管人免责。在依照约定的诉讼或仲裁程序确定境外投资顾问、境外托管人存在过错、疏忽行为之前，基金管理人或基金托管人有权拒绝向基金份额持有人承担相关责任。</w:t>
      </w:r>
    </w:p>
    <w:p w14:paraId="2A55A645" w14:textId="26385959" w:rsidR="00790E70" w:rsidRDefault="00790E70" w:rsidP="00F824BC">
      <w:pPr>
        <w:adjustRightInd w:val="0"/>
        <w:snapToGrid w:val="0"/>
        <w:spacing w:line="360" w:lineRule="auto"/>
        <w:ind w:firstLineChars="200" w:firstLine="480"/>
        <w:outlineLvl w:val="0"/>
        <w:rPr>
          <w:rFonts w:ascii="宋体" w:hAnsi="宋体" w:cs="Arial"/>
          <w:sz w:val="24"/>
        </w:rPr>
      </w:pPr>
      <w:r w:rsidRPr="00F824BC">
        <w:rPr>
          <w:rFonts w:ascii="宋体" w:hAnsi="宋体" w:cs="Arial" w:hint="eastAsia"/>
          <w:sz w:val="24"/>
        </w:rPr>
        <w:t>（八）基金管理人应根据联合国、其他国际组织、其他国家（地区）发布的且得到我国承认的制裁决议名单以及审慎、尽职的原则，对本基金资产、本基金资产背后的客户进行制裁名单筛查。若基金管理人</w:t>
      </w:r>
      <w:r w:rsidR="0042154B">
        <w:rPr>
          <w:rFonts w:ascii="宋体" w:hAnsi="宋体" w:cs="Arial" w:hint="eastAsia"/>
          <w:sz w:val="24"/>
        </w:rPr>
        <w:t>因过错</w:t>
      </w:r>
      <w:r w:rsidRPr="00F824BC">
        <w:rPr>
          <w:rFonts w:ascii="宋体" w:hAnsi="宋体" w:cs="Arial" w:hint="eastAsia"/>
          <w:sz w:val="24"/>
        </w:rPr>
        <w:t>没有履行该等名单筛查的义务，或未能有效发现受制裁的主体，或发生其他违反前述制裁规定的情形，基金管理人理解并同意，基金托管人和境外托管人将无法继续为该等基金资产提供托管服务，基金托管人和境外托管人对此不承担任何的责任，对于因此导致基金托管人和境外托管人受到处罚等可能遭受的任何损失，基金管理人</w:t>
      </w:r>
      <w:r w:rsidRPr="0058590D">
        <w:rPr>
          <w:rFonts w:ascii="宋体" w:hAnsi="宋体" w:cs="Arial" w:hint="eastAsia"/>
          <w:sz w:val="24"/>
        </w:rPr>
        <w:t>须承担</w:t>
      </w:r>
      <w:r w:rsidR="00751775" w:rsidRPr="00AB0A73">
        <w:rPr>
          <w:rFonts w:ascii="宋体" w:hAnsi="宋体" w:cs="Arial" w:hint="eastAsia"/>
          <w:sz w:val="24"/>
        </w:rPr>
        <w:t>相应</w:t>
      </w:r>
      <w:r w:rsidRPr="0058590D">
        <w:rPr>
          <w:rFonts w:ascii="宋体" w:hAnsi="宋体" w:cs="Arial" w:hint="eastAsia"/>
          <w:sz w:val="24"/>
        </w:rPr>
        <w:t>责任</w:t>
      </w:r>
      <w:r w:rsidRPr="00F824BC">
        <w:rPr>
          <w:rFonts w:ascii="宋体" w:hAnsi="宋体" w:cs="Arial" w:hint="eastAsia"/>
          <w:sz w:val="24"/>
        </w:rPr>
        <w:t>。基金管理人应保证其任何子公司、董事、高级职员、雇员，不是该等制裁的对象，亦不位于、组建在或居住在该等制裁所针对的任何国家或地区。</w:t>
      </w:r>
    </w:p>
    <w:p w14:paraId="420B7249" w14:textId="77777777" w:rsidR="00E3116F" w:rsidRDefault="00821F7A">
      <w:pPr>
        <w:pStyle w:val="2"/>
        <w:spacing w:line="360" w:lineRule="auto"/>
        <w:jc w:val="center"/>
        <w:rPr>
          <w:rFonts w:ascii="宋体" w:eastAsia="宋体" w:hAnsi="宋体"/>
          <w:sz w:val="30"/>
        </w:rPr>
      </w:pPr>
      <w:bookmarkStart w:id="115" w:name="_Toc516758912"/>
      <w:r>
        <w:rPr>
          <w:rFonts w:ascii="宋体" w:eastAsia="宋体" w:hAnsi="宋体" w:hint="eastAsia"/>
          <w:sz w:val="30"/>
        </w:rPr>
        <w:lastRenderedPageBreak/>
        <w:t>十八、争议解决方式</w:t>
      </w:r>
      <w:bookmarkEnd w:id="115"/>
    </w:p>
    <w:p w14:paraId="4C2C425F"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双方当事人均有约束力，仲裁费用由败诉方承担，除非仲裁裁决另有决定。</w:t>
      </w:r>
    </w:p>
    <w:p w14:paraId="58FB06E9"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争议处理期间，双方当事人应恪守基金管理人和基金托管人职责，各自继续忠实、勤勉、尽责地履行《基金合同》和本托管协议规定的义务，维护基金份额持有人的合法权益。</w:t>
      </w:r>
    </w:p>
    <w:p w14:paraId="3144EEAA"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本协议受中国法律</w:t>
      </w:r>
      <w:r>
        <w:rPr>
          <w:rFonts w:ascii="宋体" w:hAnsi="宋体" w:cs="Arial" w:hint="eastAsia"/>
          <w:bCs/>
          <w:sz w:val="24"/>
        </w:rPr>
        <w:t>（为本托管协议之目的，不包括香港特别行政区、澳门特别行政区和台湾地区法律）</w:t>
      </w:r>
      <w:r>
        <w:rPr>
          <w:rFonts w:ascii="宋体" w:hAnsi="宋体" w:cs="Arial" w:hint="eastAsia"/>
          <w:sz w:val="24"/>
        </w:rPr>
        <w:t>管辖，并按其解释。</w:t>
      </w:r>
    </w:p>
    <w:p w14:paraId="3C84B751" w14:textId="77777777" w:rsidR="00E3116F" w:rsidRDefault="00E3116F">
      <w:pPr>
        <w:adjustRightInd w:val="0"/>
        <w:snapToGrid w:val="0"/>
        <w:spacing w:line="360" w:lineRule="auto"/>
        <w:ind w:firstLineChars="200" w:firstLine="480"/>
        <w:rPr>
          <w:rFonts w:ascii="宋体" w:hAnsi="宋体" w:cs="Arial"/>
          <w:sz w:val="24"/>
        </w:rPr>
      </w:pPr>
    </w:p>
    <w:p w14:paraId="4A7963CF" w14:textId="77777777" w:rsidR="00E3116F" w:rsidRDefault="00821F7A">
      <w:pPr>
        <w:pStyle w:val="2"/>
        <w:spacing w:line="360" w:lineRule="auto"/>
        <w:jc w:val="center"/>
        <w:rPr>
          <w:rFonts w:ascii="宋体" w:eastAsia="宋体" w:hAnsi="宋体"/>
          <w:sz w:val="30"/>
        </w:rPr>
      </w:pPr>
      <w:bookmarkStart w:id="116" w:name="_Toc516758913"/>
      <w:r>
        <w:rPr>
          <w:rFonts w:ascii="宋体" w:eastAsia="宋体" w:hAnsi="宋体" w:hint="eastAsia"/>
          <w:sz w:val="30"/>
        </w:rPr>
        <w:t>十九、托管协议的效力</w:t>
      </w:r>
      <w:bookmarkEnd w:id="116"/>
    </w:p>
    <w:p w14:paraId="2DF6DDAF"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双方对托管协议的效力约定如下：</w:t>
      </w:r>
    </w:p>
    <w:p w14:paraId="72A3421C"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一）基金管理人在向中国证监会申请基金募集注册时提交的托管协议草案，应经托管协议当事人双方盖章以及双方法定代表人或授权代表签字或签章，协议当事人双方根据中国证监会的意见修改托管协议草案。托管协议以中国证监会注册的文本为正式文本。</w:t>
      </w:r>
    </w:p>
    <w:p w14:paraId="7C2C2D92"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（二）托管协议自《基金合同》成立之日起成立，自《基金合同》生效之日起生效。托管协议的有效期自其生效之日起至基金财产清算结果报中国证监会备案并公告之日止。</w:t>
      </w:r>
    </w:p>
    <w:p w14:paraId="45DD2E8D"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（三）托管协议自生效之日起对托管协议当事人具有同等的法律约束力。</w:t>
      </w:r>
    </w:p>
    <w:p w14:paraId="514FC272"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（四）本协议一式三份，协议双方各持一份，上报监管机构</w:t>
      </w:r>
      <w:r>
        <w:rPr>
          <w:rFonts w:ascii="宋体" w:hAnsi="宋体" w:cs="Arial"/>
          <w:sz w:val="24"/>
        </w:rPr>
        <w:t>一</w:t>
      </w:r>
      <w:r>
        <w:rPr>
          <w:rFonts w:ascii="宋体" w:hAnsi="宋体" w:cs="Arial" w:hint="eastAsia"/>
          <w:sz w:val="24"/>
        </w:rPr>
        <w:t>份，每份具有同等的法律效力。</w:t>
      </w:r>
    </w:p>
    <w:p w14:paraId="7BE3667A" w14:textId="77777777" w:rsidR="00E3116F" w:rsidRDefault="00E3116F">
      <w:pPr>
        <w:adjustRightInd w:val="0"/>
        <w:snapToGrid w:val="0"/>
        <w:spacing w:line="360" w:lineRule="auto"/>
        <w:ind w:firstLineChars="200" w:firstLine="480"/>
        <w:rPr>
          <w:rFonts w:ascii="宋体" w:hAnsi="宋体" w:cs="Arial"/>
          <w:sz w:val="24"/>
        </w:rPr>
      </w:pPr>
    </w:p>
    <w:p w14:paraId="5DDF5912" w14:textId="77777777" w:rsidR="00E3116F" w:rsidRDefault="00821F7A">
      <w:pPr>
        <w:pStyle w:val="2"/>
        <w:spacing w:line="360" w:lineRule="auto"/>
        <w:jc w:val="center"/>
        <w:rPr>
          <w:rFonts w:ascii="宋体" w:eastAsia="宋体" w:hAnsi="宋体"/>
          <w:sz w:val="30"/>
        </w:rPr>
      </w:pPr>
      <w:bookmarkStart w:id="117" w:name="_Toc516758914"/>
      <w:r>
        <w:rPr>
          <w:rFonts w:ascii="宋体" w:eastAsia="宋体" w:hAnsi="宋体" w:hint="eastAsia"/>
          <w:sz w:val="30"/>
        </w:rPr>
        <w:lastRenderedPageBreak/>
        <w:t>二十、其他事项</w:t>
      </w:r>
      <w:bookmarkEnd w:id="117"/>
    </w:p>
    <w:p w14:paraId="271D697F" w14:textId="57FF3023" w:rsidR="00505DBD" w:rsidRPr="00505DBD" w:rsidRDefault="00505DBD" w:rsidP="00F824BC">
      <w:pPr>
        <w:adjustRightInd w:val="0"/>
        <w:snapToGrid w:val="0"/>
        <w:spacing w:line="360" w:lineRule="auto"/>
        <w:ind w:firstLineChars="200" w:firstLine="480"/>
        <w:rPr>
          <w:rFonts w:ascii="宋体" w:hAnsi="宋体" w:cs="Arial"/>
          <w:sz w:val="24"/>
        </w:rPr>
      </w:pPr>
      <w:r w:rsidRPr="00F824BC">
        <w:rPr>
          <w:rFonts w:ascii="宋体" w:hAnsi="宋体" w:cs="Arial" w:hint="eastAsia"/>
          <w:sz w:val="24"/>
        </w:rPr>
        <w:t>管理人与托管人双方应严格按照相关法律法规、监管规定各自履行监管报告职责，报告程序和内容按照监管机构有关规定执行。</w:t>
      </w:r>
    </w:p>
    <w:p w14:paraId="5C68E007"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如发生有权司法机关依法冻结基金份额持有人的基金份额时，基金管理人应予以配合，承担司法协助义务。</w:t>
      </w:r>
    </w:p>
    <w:p w14:paraId="3E675A3D" w14:textId="77777777" w:rsidR="00E3116F" w:rsidRDefault="00821F7A">
      <w:pPr>
        <w:adjustRightInd w:val="0"/>
        <w:snapToGrid w:val="0"/>
        <w:spacing w:line="360" w:lineRule="auto"/>
        <w:ind w:firstLineChars="200" w:firstLine="480"/>
        <w:rPr>
          <w:rFonts w:ascii="宋体" w:hAnsi="宋体" w:cs="Arial"/>
          <w:sz w:val="24"/>
        </w:rPr>
      </w:pPr>
      <w:r>
        <w:rPr>
          <w:rFonts w:ascii="宋体" w:hAnsi="宋体" w:cs="Arial" w:hint="eastAsia"/>
          <w:sz w:val="24"/>
        </w:rPr>
        <w:t>除本协议有明确定义外，本协议的用语定义适用《基金合同》的约定。本协议未尽事宜，当事人依据《基金合同》、有关法律法规等规定协商办理。</w:t>
      </w:r>
    </w:p>
    <w:p w14:paraId="1DFDAD01" w14:textId="77777777" w:rsidR="00E3116F" w:rsidRDefault="00E3116F">
      <w:pPr>
        <w:adjustRightInd w:val="0"/>
        <w:snapToGrid w:val="0"/>
        <w:spacing w:line="360" w:lineRule="auto"/>
        <w:ind w:firstLineChars="200" w:firstLine="422"/>
        <w:rPr>
          <w:rFonts w:ascii="宋体" w:hAnsi="宋体"/>
          <w:b/>
          <w:bCs/>
        </w:rPr>
      </w:pPr>
    </w:p>
    <w:p w14:paraId="27E2C6D9" w14:textId="77777777" w:rsidR="00E3116F" w:rsidRDefault="00821F7A">
      <w:pPr>
        <w:pStyle w:val="2"/>
        <w:spacing w:line="360" w:lineRule="auto"/>
        <w:jc w:val="center"/>
        <w:rPr>
          <w:rFonts w:ascii="宋体" w:eastAsia="宋体" w:hAnsi="宋体"/>
          <w:sz w:val="30"/>
        </w:rPr>
      </w:pPr>
      <w:bookmarkStart w:id="118" w:name="_Toc516758915"/>
      <w:r>
        <w:rPr>
          <w:rFonts w:ascii="宋体" w:eastAsia="宋体" w:hAnsi="宋体" w:hint="eastAsia"/>
          <w:sz w:val="30"/>
        </w:rPr>
        <w:t>二十一、托管协议的签订</w:t>
      </w:r>
      <w:bookmarkEnd w:id="118"/>
    </w:p>
    <w:p w14:paraId="303700BB" w14:textId="59100EA1" w:rsidR="00E3116F" w:rsidRDefault="00821F7A" w:rsidP="008B7F6C">
      <w:pPr>
        <w:spacing w:line="360" w:lineRule="auto"/>
        <w:ind w:right="26"/>
      </w:pPr>
      <w:r>
        <w:rPr>
          <w:rFonts w:ascii="宋体" w:hAnsi="宋体" w:cs="Arial" w:hint="eastAsia"/>
          <w:sz w:val="24"/>
        </w:rPr>
        <w:t>本协议双方法定代表人或授权代表签章、签订地、签订日。</w:t>
      </w:r>
      <w:bookmarkStart w:id="119" w:name="_GoBack"/>
      <w:bookmarkEnd w:id="119"/>
    </w:p>
    <w:p w14:paraId="4923DCDA" w14:textId="77777777" w:rsidR="00E3116F" w:rsidRDefault="00E3116F">
      <w:pPr>
        <w:spacing w:line="360" w:lineRule="auto"/>
        <w:ind w:right="26"/>
        <w:rPr>
          <w:rFonts w:ascii="宋体" w:hAnsi="宋体" w:cs="Arial"/>
          <w:sz w:val="24"/>
        </w:rPr>
      </w:pPr>
    </w:p>
    <w:sectPr w:rsidR="00E3116F">
      <w:headerReference w:type="default" r:id="rId10"/>
      <w:pgSz w:w="11906" w:h="16838"/>
      <w:pgMar w:top="1418" w:right="1701" w:bottom="1418" w:left="1701" w:header="851" w:footer="992" w:gutter="0"/>
      <w:pgNumType w:start="1"/>
      <w:cols w:space="720"/>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1B2E19" w16cex:dateUtc="2026-01-21T02:51:00Z"/>
  <w16cex:commentExtensible w16cex:durableId="2D1B2E44" w16cex:dateUtc="2026-01-21T02: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98561E" w16cid:durableId="2D1B2E19"/>
  <w16cid:commentId w16cid:paraId="15E9730F" w16cid:durableId="2D1B2E4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EF41CD" w14:textId="77777777" w:rsidR="003E4BE7" w:rsidRDefault="003E4BE7">
      <w:r>
        <w:separator/>
      </w:r>
    </w:p>
  </w:endnote>
  <w:endnote w:type="continuationSeparator" w:id="0">
    <w:p w14:paraId="0E929FAA" w14:textId="77777777" w:rsidR="003E4BE7" w:rsidRDefault="003E4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仿宋简体">
    <w:panose1 w:val="02000000000000000000"/>
    <w:charset w:val="86"/>
    <w:family w:val="auto"/>
    <w:pitch w:val="variable"/>
    <w:sig w:usb0="A00002BF" w:usb1="184F6CFA" w:usb2="00000012" w:usb3="00000000" w:csb0="00040001"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swiss"/>
    <w:pitch w:val="default"/>
    <w:sig w:usb0="00000001" w:usb1="080E0000" w:usb2="00000000" w:usb3="00000000" w:csb0="00040000" w:csb1="00000000"/>
  </w:font>
  <w:font w:name="等线">
    <w:panose1 w:val="02010600030101010101"/>
    <w:charset w:val="86"/>
    <w:family w:val="auto"/>
    <w:pitch w:val="variable"/>
    <w:sig w:usb0="A00002BF" w:usb1="38CF7CFA" w:usb2="00000016" w:usb3="00000000" w:csb0="0004000F" w:csb1="00000000"/>
  </w:font>
  <w:font w:name="彩虹粗仿宋">
    <w:altName w:val="微软雅黑"/>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DejaVu Sans"/>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AF1696" w14:textId="77777777" w:rsidR="00710244" w:rsidRDefault="00710244">
    <w:pPr>
      <w:pStyle w:val="a8"/>
      <w:framePr w:wrap="around" w:vAnchor="text" w:hAnchor="margin" w:xAlign="center" w:y="1"/>
      <w:rPr>
        <w:rStyle w:val="ad"/>
      </w:rPr>
    </w:pPr>
    <w:r>
      <w:fldChar w:fldCharType="begin"/>
    </w:r>
    <w:r>
      <w:rPr>
        <w:rStyle w:val="ad"/>
      </w:rPr>
      <w:instrText xml:space="preserve">PAGE  </w:instrText>
    </w:r>
    <w:r>
      <w:fldChar w:fldCharType="end"/>
    </w:r>
  </w:p>
  <w:p w14:paraId="39024A64" w14:textId="77777777" w:rsidR="00710244" w:rsidRDefault="00710244">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C8F2A8" w14:textId="77777777" w:rsidR="00710244" w:rsidRDefault="00710244">
    <w:pPr>
      <w:pStyle w:val="a8"/>
      <w:jc w:val="center"/>
    </w:pPr>
    <w:r>
      <w:fldChar w:fldCharType="begin"/>
    </w:r>
    <w:r>
      <w:instrText>PAGE   \* MERGEFORMAT</w:instrText>
    </w:r>
    <w:r>
      <w:fldChar w:fldCharType="separate"/>
    </w:r>
    <w:r w:rsidR="008B7F6C" w:rsidRPr="008B7F6C">
      <w:rPr>
        <w:noProof/>
        <w:lang w:val="zh-CN"/>
      </w:rPr>
      <w:t>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B39440" w14:textId="77777777" w:rsidR="003E4BE7" w:rsidRDefault="003E4BE7">
      <w:r>
        <w:separator/>
      </w:r>
    </w:p>
  </w:footnote>
  <w:footnote w:type="continuationSeparator" w:id="0">
    <w:p w14:paraId="0132FF3A" w14:textId="77777777" w:rsidR="003E4BE7" w:rsidRDefault="003E4B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344B99" w14:textId="20182354" w:rsidR="00710244" w:rsidRDefault="00710244">
    <w:pPr>
      <w:pStyle w:val="a9"/>
      <w:jc w:val="left"/>
    </w:pPr>
    <w:r>
      <w:rPr>
        <w:rFonts w:hint="eastAsia"/>
      </w:rPr>
      <w:t>银华医疗创新混合型证券投资基金（</w:t>
    </w:r>
    <w:r>
      <w:rPr>
        <w:rFonts w:hint="eastAsia"/>
      </w:rPr>
      <w:t>QDII</w:t>
    </w:r>
    <w:r>
      <w:rPr>
        <w:rFonts w:hint="eastAsia"/>
      </w:rPr>
      <w:t>）</w:t>
    </w:r>
    <w:r>
      <w:t xml:space="preserve">      </w:t>
    </w:r>
    <w:r>
      <w:rPr>
        <w:rFonts w:hint="eastAsia"/>
      </w:rPr>
      <w:t xml:space="preserve"> </w:t>
    </w:r>
    <w:r>
      <w:t xml:space="preserve">           </w:t>
    </w:r>
    <w:r>
      <w:rPr>
        <w:rFonts w:hint="eastAsia"/>
      </w:rPr>
      <w:t xml:space="preserve">               </w:t>
    </w:r>
    <w:r w:rsidR="00BB16CC">
      <w:t xml:space="preserve">        </w:t>
    </w:r>
    <w:r>
      <w:rPr>
        <w:rFonts w:hint="eastAsia"/>
      </w:rPr>
      <w:t xml:space="preserve">     </w:t>
    </w:r>
    <w:r>
      <w:rPr>
        <w:rFonts w:hint="eastAsia"/>
      </w:rPr>
      <w:t>托管协议</w:t>
    </w:r>
    <w:r>
      <w:rPr>
        <w:rFonts w:hint="eastAsia"/>
      </w:rPr>
      <w:t xml:space="preserve"> </w:t>
    </w:r>
  </w:p>
  <w:p w14:paraId="024512B7" w14:textId="77777777" w:rsidR="00710244" w:rsidRDefault="0071024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8E2B24"/>
    <w:multiLevelType w:val="hybridMultilevel"/>
    <w:tmpl w:val="E86E838A"/>
    <w:lvl w:ilvl="0" w:tplc="D4B4B186">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JjYjA3ZTQ2MTM1MDE2Njk1YjQxMTc0YTg5ODhiMTAifQ=="/>
  </w:docVars>
  <w:rsids>
    <w:rsidRoot w:val="00172A27"/>
    <w:rsid w:val="00001419"/>
    <w:rsid w:val="000018A2"/>
    <w:rsid w:val="00005C57"/>
    <w:rsid w:val="000107D4"/>
    <w:rsid w:val="000138C8"/>
    <w:rsid w:val="0001392C"/>
    <w:rsid w:val="0001462B"/>
    <w:rsid w:val="00015B4B"/>
    <w:rsid w:val="00017BD0"/>
    <w:rsid w:val="00024802"/>
    <w:rsid w:val="000379B1"/>
    <w:rsid w:val="000404CE"/>
    <w:rsid w:val="00041159"/>
    <w:rsid w:val="000420EE"/>
    <w:rsid w:val="000438F6"/>
    <w:rsid w:val="00043D0C"/>
    <w:rsid w:val="000473D5"/>
    <w:rsid w:val="000548A6"/>
    <w:rsid w:val="00055680"/>
    <w:rsid w:val="0005577E"/>
    <w:rsid w:val="00055B18"/>
    <w:rsid w:val="00056468"/>
    <w:rsid w:val="00056A44"/>
    <w:rsid w:val="00057339"/>
    <w:rsid w:val="0006360B"/>
    <w:rsid w:val="000647CF"/>
    <w:rsid w:val="000652CE"/>
    <w:rsid w:val="00065E0E"/>
    <w:rsid w:val="00066D0A"/>
    <w:rsid w:val="00066D12"/>
    <w:rsid w:val="00071598"/>
    <w:rsid w:val="00072C49"/>
    <w:rsid w:val="00073A2D"/>
    <w:rsid w:val="00074934"/>
    <w:rsid w:val="00082A5B"/>
    <w:rsid w:val="00083494"/>
    <w:rsid w:val="0008585F"/>
    <w:rsid w:val="00091A85"/>
    <w:rsid w:val="00091B5B"/>
    <w:rsid w:val="00091BF5"/>
    <w:rsid w:val="00093083"/>
    <w:rsid w:val="00093B60"/>
    <w:rsid w:val="000945A5"/>
    <w:rsid w:val="000955DC"/>
    <w:rsid w:val="000A33BC"/>
    <w:rsid w:val="000A3554"/>
    <w:rsid w:val="000A6206"/>
    <w:rsid w:val="000B0A1C"/>
    <w:rsid w:val="000B0A81"/>
    <w:rsid w:val="000B1860"/>
    <w:rsid w:val="000B3B29"/>
    <w:rsid w:val="000C3B26"/>
    <w:rsid w:val="000C67B9"/>
    <w:rsid w:val="000D2E54"/>
    <w:rsid w:val="000D42C4"/>
    <w:rsid w:val="000D564F"/>
    <w:rsid w:val="000D5B41"/>
    <w:rsid w:val="000D6562"/>
    <w:rsid w:val="000E2B13"/>
    <w:rsid w:val="000E44A5"/>
    <w:rsid w:val="000E573B"/>
    <w:rsid w:val="000E5F58"/>
    <w:rsid w:val="000E669C"/>
    <w:rsid w:val="000F100F"/>
    <w:rsid w:val="000F3E81"/>
    <w:rsid w:val="000F4EE9"/>
    <w:rsid w:val="001012A4"/>
    <w:rsid w:val="0010297B"/>
    <w:rsid w:val="00103FB8"/>
    <w:rsid w:val="0010580A"/>
    <w:rsid w:val="001058ED"/>
    <w:rsid w:val="0010769B"/>
    <w:rsid w:val="00110D22"/>
    <w:rsid w:val="0011270B"/>
    <w:rsid w:val="0011367B"/>
    <w:rsid w:val="0011433D"/>
    <w:rsid w:val="001154DE"/>
    <w:rsid w:val="00124D32"/>
    <w:rsid w:val="00130E5F"/>
    <w:rsid w:val="0013289E"/>
    <w:rsid w:val="0013461B"/>
    <w:rsid w:val="0013564E"/>
    <w:rsid w:val="00140B94"/>
    <w:rsid w:val="00140FFF"/>
    <w:rsid w:val="00142178"/>
    <w:rsid w:val="00142C53"/>
    <w:rsid w:val="001430DA"/>
    <w:rsid w:val="00143263"/>
    <w:rsid w:val="0014372D"/>
    <w:rsid w:val="001442FA"/>
    <w:rsid w:val="00146670"/>
    <w:rsid w:val="001470B8"/>
    <w:rsid w:val="00150561"/>
    <w:rsid w:val="001509B6"/>
    <w:rsid w:val="00150FEC"/>
    <w:rsid w:val="0015152C"/>
    <w:rsid w:val="00153BEB"/>
    <w:rsid w:val="00155A74"/>
    <w:rsid w:val="0015792D"/>
    <w:rsid w:val="0016020D"/>
    <w:rsid w:val="00160297"/>
    <w:rsid w:val="00162AA2"/>
    <w:rsid w:val="00163254"/>
    <w:rsid w:val="001650CF"/>
    <w:rsid w:val="001654F9"/>
    <w:rsid w:val="00165F51"/>
    <w:rsid w:val="001672C8"/>
    <w:rsid w:val="00172A27"/>
    <w:rsid w:val="00173000"/>
    <w:rsid w:val="00176206"/>
    <w:rsid w:val="001767E7"/>
    <w:rsid w:val="00177C4D"/>
    <w:rsid w:val="00180C99"/>
    <w:rsid w:val="00181AC3"/>
    <w:rsid w:val="00182FA0"/>
    <w:rsid w:val="00185F40"/>
    <w:rsid w:val="00187089"/>
    <w:rsid w:val="00187C04"/>
    <w:rsid w:val="00190920"/>
    <w:rsid w:val="0019146D"/>
    <w:rsid w:val="0019386E"/>
    <w:rsid w:val="001A052C"/>
    <w:rsid w:val="001A144B"/>
    <w:rsid w:val="001A3E0A"/>
    <w:rsid w:val="001B2869"/>
    <w:rsid w:val="001B45A7"/>
    <w:rsid w:val="001B5209"/>
    <w:rsid w:val="001B5BEA"/>
    <w:rsid w:val="001C1839"/>
    <w:rsid w:val="001C6DED"/>
    <w:rsid w:val="001C6ED3"/>
    <w:rsid w:val="001C70BE"/>
    <w:rsid w:val="001D0444"/>
    <w:rsid w:val="001D0D7B"/>
    <w:rsid w:val="001D4436"/>
    <w:rsid w:val="001D463C"/>
    <w:rsid w:val="001D50C7"/>
    <w:rsid w:val="001D6B3B"/>
    <w:rsid w:val="001D71F0"/>
    <w:rsid w:val="001E221A"/>
    <w:rsid w:val="001E4B8C"/>
    <w:rsid w:val="001E52E6"/>
    <w:rsid w:val="001E70E1"/>
    <w:rsid w:val="001F02AB"/>
    <w:rsid w:val="001F0CAE"/>
    <w:rsid w:val="001F1EF0"/>
    <w:rsid w:val="001F35EC"/>
    <w:rsid w:val="00204C3C"/>
    <w:rsid w:val="00211044"/>
    <w:rsid w:val="00211739"/>
    <w:rsid w:val="00212280"/>
    <w:rsid w:val="00213BAC"/>
    <w:rsid w:val="002147A5"/>
    <w:rsid w:val="002154CD"/>
    <w:rsid w:val="00216D46"/>
    <w:rsid w:val="00220C58"/>
    <w:rsid w:val="00224C43"/>
    <w:rsid w:val="0022531B"/>
    <w:rsid w:val="00225DB4"/>
    <w:rsid w:val="00227094"/>
    <w:rsid w:val="0022760B"/>
    <w:rsid w:val="00230B8C"/>
    <w:rsid w:val="002344E9"/>
    <w:rsid w:val="00234767"/>
    <w:rsid w:val="00236631"/>
    <w:rsid w:val="0023775D"/>
    <w:rsid w:val="00237EAA"/>
    <w:rsid w:val="00241CCF"/>
    <w:rsid w:val="00242878"/>
    <w:rsid w:val="00244373"/>
    <w:rsid w:val="002456AD"/>
    <w:rsid w:val="00245932"/>
    <w:rsid w:val="002471D9"/>
    <w:rsid w:val="00247AFC"/>
    <w:rsid w:val="0025635E"/>
    <w:rsid w:val="00263988"/>
    <w:rsid w:val="002643B7"/>
    <w:rsid w:val="00264C6C"/>
    <w:rsid w:val="002704BF"/>
    <w:rsid w:val="00270A08"/>
    <w:rsid w:val="00270C6B"/>
    <w:rsid w:val="002726B1"/>
    <w:rsid w:val="00272A12"/>
    <w:rsid w:val="002744AD"/>
    <w:rsid w:val="0027517F"/>
    <w:rsid w:val="00275DA8"/>
    <w:rsid w:val="00276F59"/>
    <w:rsid w:val="00276F9E"/>
    <w:rsid w:val="0027708D"/>
    <w:rsid w:val="00277502"/>
    <w:rsid w:val="002819D2"/>
    <w:rsid w:val="00281FC3"/>
    <w:rsid w:val="00282B4C"/>
    <w:rsid w:val="00282FD5"/>
    <w:rsid w:val="002831BA"/>
    <w:rsid w:val="00286223"/>
    <w:rsid w:val="00286F8C"/>
    <w:rsid w:val="0029155A"/>
    <w:rsid w:val="0029251E"/>
    <w:rsid w:val="00292FD3"/>
    <w:rsid w:val="00293FD0"/>
    <w:rsid w:val="00295C93"/>
    <w:rsid w:val="00295EBD"/>
    <w:rsid w:val="00297A25"/>
    <w:rsid w:val="002A1ED2"/>
    <w:rsid w:val="002A2DA1"/>
    <w:rsid w:val="002A4755"/>
    <w:rsid w:val="002A603C"/>
    <w:rsid w:val="002A6FDD"/>
    <w:rsid w:val="002A7857"/>
    <w:rsid w:val="002A79BE"/>
    <w:rsid w:val="002B2CB3"/>
    <w:rsid w:val="002B4F7A"/>
    <w:rsid w:val="002B56F0"/>
    <w:rsid w:val="002B5C3E"/>
    <w:rsid w:val="002B6EAA"/>
    <w:rsid w:val="002C0A31"/>
    <w:rsid w:val="002C1445"/>
    <w:rsid w:val="002C70A9"/>
    <w:rsid w:val="002D2B2A"/>
    <w:rsid w:val="002D5A13"/>
    <w:rsid w:val="002D62E3"/>
    <w:rsid w:val="002D6C63"/>
    <w:rsid w:val="002E05C7"/>
    <w:rsid w:val="002E723B"/>
    <w:rsid w:val="002F283E"/>
    <w:rsid w:val="002F5E08"/>
    <w:rsid w:val="002F6BC9"/>
    <w:rsid w:val="00301BD9"/>
    <w:rsid w:val="00304410"/>
    <w:rsid w:val="00304D7A"/>
    <w:rsid w:val="00306CD0"/>
    <w:rsid w:val="00311897"/>
    <w:rsid w:val="00313139"/>
    <w:rsid w:val="00315C1E"/>
    <w:rsid w:val="00316F59"/>
    <w:rsid w:val="003214F1"/>
    <w:rsid w:val="00323187"/>
    <w:rsid w:val="003235CC"/>
    <w:rsid w:val="00332C8C"/>
    <w:rsid w:val="003342DE"/>
    <w:rsid w:val="0033777B"/>
    <w:rsid w:val="00341744"/>
    <w:rsid w:val="00341DDF"/>
    <w:rsid w:val="00342937"/>
    <w:rsid w:val="003441D5"/>
    <w:rsid w:val="00350C2E"/>
    <w:rsid w:val="0035543F"/>
    <w:rsid w:val="003571B0"/>
    <w:rsid w:val="00357F11"/>
    <w:rsid w:val="0036283C"/>
    <w:rsid w:val="0036287E"/>
    <w:rsid w:val="00364AC1"/>
    <w:rsid w:val="00364B82"/>
    <w:rsid w:val="00366F92"/>
    <w:rsid w:val="00367A6A"/>
    <w:rsid w:val="00370DD0"/>
    <w:rsid w:val="00372E8F"/>
    <w:rsid w:val="003730E4"/>
    <w:rsid w:val="00375E77"/>
    <w:rsid w:val="00384027"/>
    <w:rsid w:val="00384BBB"/>
    <w:rsid w:val="003878CD"/>
    <w:rsid w:val="00387E3B"/>
    <w:rsid w:val="00390964"/>
    <w:rsid w:val="0039188A"/>
    <w:rsid w:val="0039241C"/>
    <w:rsid w:val="00393C8C"/>
    <w:rsid w:val="00393F17"/>
    <w:rsid w:val="00394CA7"/>
    <w:rsid w:val="00395115"/>
    <w:rsid w:val="003A535F"/>
    <w:rsid w:val="003A565E"/>
    <w:rsid w:val="003A68D3"/>
    <w:rsid w:val="003A7843"/>
    <w:rsid w:val="003B0C37"/>
    <w:rsid w:val="003B5BC7"/>
    <w:rsid w:val="003B7C03"/>
    <w:rsid w:val="003C02B4"/>
    <w:rsid w:val="003C09BB"/>
    <w:rsid w:val="003C4AE0"/>
    <w:rsid w:val="003C5853"/>
    <w:rsid w:val="003C5A02"/>
    <w:rsid w:val="003C5E3C"/>
    <w:rsid w:val="003D1F57"/>
    <w:rsid w:val="003D2A8D"/>
    <w:rsid w:val="003D3D0C"/>
    <w:rsid w:val="003D4AFC"/>
    <w:rsid w:val="003D67D7"/>
    <w:rsid w:val="003E01B7"/>
    <w:rsid w:val="003E2D00"/>
    <w:rsid w:val="003E4BE7"/>
    <w:rsid w:val="003F002F"/>
    <w:rsid w:val="003F2699"/>
    <w:rsid w:val="003F40A6"/>
    <w:rsid w:val="003F511C"/>
    <w:rsid w:val="003F59EE"/>
    <w:rsid w:val="003F796D"/>
    <w:rsid w:val="00401214"/>
    <w:rsid w:val="0040348A"/>
    <w:rsid w:val="004036FC"/>
    <w:rsid w:val="00404066"/>
    <w:rsid w:val="00407328"/>
    <w:rsid w:val="00407E80"/>
    <w:rsid w:val="004104F3"/>
    <w:rsid w:val="0041392B"/>
    <w:rsid w:val="00414132"/>
    <w:rsid w:val="0042154B"/>
    <w:rsid w:val="0042154E"/>
    <w:rsid w:val="00421FBB"/>
    <w:rsid w:val="004231FC"/>
    <w:rsid w:val="00424D3B"/>
    <w:rsid w:val="00425259"/>
    <w:rsid w:val="00430F4F"/>
    <w:rsid w:val="0043297F"/>
    <w:rsid w:val="00433721"/>
    <w:rsid w:val="00434BC4"/>
    <w:rsid w:val="00434BE0"/>
    <w:rsid w:val="0043640D"/>
    <w:rsid w:val="004379CF"/>
    <w:rsid w:val="00440B3E"/>
    <w:rsid w:val="00442134"/>
    <w:rsid w:val="00442E3D"/>
    <w:rsid w:val="00444783"/>
    <w:rsid w:val="00446391"/>
    <w:rsid w:val="00446D3A"/>
    <w:rsid w:val="00447631"/>
    <w:rsid w:val="00454392"/>
    <w:rsid w:val="00457AA8"/>
    <w:rsid w:val="00460116"/>
    <w:rsid w:val="00461136"/>
    <w:rsid w:val="004622DE"/>
    <w:rsid w:val="004653C0"/>
    <w:rsid w:val="00466614"/>
    <w:rsid w:val="0047176F"/>
    <w:rsid w:val="00471901"/>
    <w:rsid w:val="004722B3"/>
    <w:rsid w:val="00474EA2"/>
    <w:rsid w:val="004807FE"/>
    <w:rsid w:val="00482553"/>
    <w:rsid w:val="00483BB3"/>
    <w:rsid w:val="004947F9"/>
    <w:rsid w:val="00495132"/>
    <w:rsid w:val="004953EF"/>
    <w:rsid w:val="00495A02"/>
    <w:rsid w:val="004A2EA7"/>
    <w:rsid w:val="004A3440"/>
    <w:rsid w:val="004A3BA9"/>
    <w:rsid w:val="004A481B"/>
    <w:rsid w:val="004B1C68"/>
    <w:rsid w:val="004B7E80"/>
    <w:rsid w:val="004C7ACA"/>
    <w:rsid w:val="004D20BA"/>
    <w:rsid w:val="004D3A1D"/>
    <w:rsid w:val="004D569F"/>
    <w:rsid w:val="004D63CA"/>
    <w:rsid w:val="004E15FE"/>
    <w:rsid w:val="004E2E0F"/>
    <w:rsid w:val="004E3AE1"/>
    <w:rsid w:val="004E67C4"/>
    <w:rsid w:val="004F04F3"/>
    <w:rsid w:val="004F1EDF"/>
    <w:rsid w:val="004F7632"/>
    <w:rsid w:val="004F7C53"/>
    <w:rsid w:val="0050307C"/>
    <w:rsid w:val="00503ABE"/>
    <w:rsid w:val="005041BC"/>
    <w:rsid w:val="00505DBD"/>
    <w:rsid w:val="00506633"/>
    <w:rsid w:val="00506BE2"/>
    <w:rsid w:val="00507002"/>
    <w:rsid w:val="00507530"/>
    <w:rsid w:val="00510585"/>
    <w:rsid w:val="005108CC"/>
    <w:rsid w:val="0051168D"/>
    <w:rsid w:val="005116F2"/>
    <w:rsid w:val="00511883"/>
    <w:rsid w:val="00512020"/>
    <w:rsid w:val="005128A9"/>
    <w:rsid w:val="00514ED0"/>
    <w:rsid w:val="005162DD"/>
    <w:rsid w:val="0051657D"/>
    <w:rsid w:val="00516F9E"/>
    <w:rsid w:val="00520C17"/>
    <w:rsid w:val="00521E03"/>
    <w:rsid w:val="005233A2"/>
    <w:rsid w:val="005254C5"/>
    <w:rsid w:val="0052555A"/>
    <w:rsid w:val="00526877"/>
    <w:rsid w:val="00531CBF"/>
    <w:rsid w:val="0053238A"/>
    <w:rsid w:val="00537022"/>
    <w:rsid w:val="00537364"/>
    <w:rsid w:val="00537E2B"/>
    <w:rsid w:val="00541625"/>
    <w:rsid w:val="00541C6B"/>
    <w:rsid w:val="00543A96"/>
    <w:rsid w:val="0054623C"/>
    <w:rsid w:val="005471DF"/>
    <w:rsid w:val="005524AE"/>
    <w:rsid w:val="005533F0"/>
    <w:rsid w:val="00555A66"/>
    <w:rsid w:val="005604EC"/>
    <w:rsid w:val="0056097F"/>
    <w:rsid w:val="0056271E"/>
    <w:rsid w:val="00562A28"/>
    <w:rsid w:val="00565C94"/>
    <w:rsid w:val="00565CD1"/>
    <w:rsid w:val="00565EC3"/>
    <w:rsid w:val="00566FFA"/>
    <w:rsid w:val="00570D66"/>
    <w:rsid w:val="005714FE"/>
    <w:rsid w:val="005736C7"/>
    <w:rsid w:val="00573C12"/>
    <w:rsid w:val="005741E4"/>
    <w:rsid w:val="00574526"/>
    <w:rsid w:val="00574C84"/>
    <w:rsid w:val="00574D3F"/>
    <w:rsid w:val="00575665"/>
    <w:rsid w:val="00580005"/>
    <w:rsid w:val="0058590D"/>
    <w:rsid w:val="00587DCE"/>
    <w:rsid w:val="00595A10"/>
    <w:rsid w:val="005A00DE"/>
    <w:rsid w:val="005A46B0"/>
    <w:rsid w:val="005B1953"/>
    <w:rsid w:val="005B4D82"/>
    <w:rsid w:val="005B5345"/>
    <w:rsid w:val="005B7F01"/>
    <w:rsid w:val="005C36F9"/>
    <w:rsid w:val="005C3785"/>
    <w:rsid w:val="005C6A91"/>
    <w:rsid w:val="005D1033"/>
    <w:rsid w:val="005D1816"/>
    <w:rsid w:val="005D1D9B"/>
    <w:rsid w:val="005D5033"/>
    <w:rsid w:val="005D6A5D"/>
    <w:rsid w:val="005D729E"/>
    <w:rsid w:val="005E013A"/>
    <w:rsid w:val="005E2AA9"/>
    <w:rsid w:val="005E4358"/>
    <w:rsid w:val="005E5D03"/>
    <w:rsid w:val="005E7E07"/>
    <w:rsid w:val="005F2B76"/>
    <w:rsid w:val="005F329F"/>
    <w:rsid w:val="005F5862"/>
    <w:rsid w:val="005F5DAC"/>
    <w:rsid w:val="005F7E2B"/>
    <w:rsid w:val="0060074C"/>
    <w:rsid w:val="006012AF"/>
    <w:rsid w:val="00601F22"/>
    <w:rsid w:val="00603EC3"/>
    <w:rsid w:val="00603F14"/>
    <w:rsid w:val="006051A1"/>
    <w:rsid w:val="00605D1F"/>
    <w:rsid w:val="00607F09"/>
    <w:rsid w:val="00615E04"/>
    <w:rsid w:val="006217FF"/>
    <w:rsid w:val="006241CA"/>
    <w:rsid w:val="00626690"/>
    <w:rsid w:val="00626A0F"/>
    <w:rsid w:val="00626CE0"/>
    <w:rsid w:val="0063098E"/>
    <w:rsid w:val="00632047"/>
    <w:rsid w:val="006332D3"/>
    <w:rsid w:val="0063649E"/>
    <w:rsid w:val="00636A1C"/>
    <w:rsid w:val="00636F6B"/>
    <w:rsid w:val="0064010C"/>
    <w:rsid w:val="006409AD"/>
    <w:rsid w:val="006410D9"/>
    <w:rsid w:val="00641B0D"/>
    <w:rsid w:val="00643784"/>
    <w:rsid w:val="00643CDF"/>
    <w:rsid w:val="00644F0B"/>
    <w:rsid w:val="0064784C"/>
    <w:rsid w:val="00651FA1"/>
    <w:rsid w:val="00652C1B"/>
    <w:rsid w:val="00660896"/>
    <w:rsid w:val="00662B8A"/>
    <w:rsid w:val="00662D10"/>
    <w:rsid w:val="00666207"/>
    <w:rsid w:val="00666970"/>
    <w:rsid w:val="00667B49"/>
    <w:rsid w:val="00670676"/>
    <w:rsid w:val="00671A4F"/>
    <w:rsid w:val="00674ADE"/>
    <w:rsid w:val="006766DD"/>
    <w:rsid w:val="006775D2"/>
    <w:rsid w:val="00681B85"/>
    <w:rsid w:val="00682A69"/>
    <w:rsid w:val="00684340"/>
    <w:rsid w:val="0068514D"/>
    <w:rsid w:val="00686272"/>
    <w:rsid w:val="00686494"/>
    <w:rsid w:val="0068709B"/>
    <w:rsid w:val="006914C2"/>
    <w:rsid w:val="00691EEB"/>
    <w:rsid w:val="006928D6"/>
    <w:rsid w:val="00696D4D"/>
    <w:rsid w:val="006A0348"/>
    <w:rsid w:val="006A0929"/>
    <w:rsid w:val="006A1743"/>
    <w:rsid w:val="006A1756"/>
    <w:rsid w:val="006A1E0F"/>
    <w:rsid w:val="006A5EAF"/>
    <w:rsid w:val="006B7C09"/>
    <w:rsid w:val="006C212F"/>
    <w:rsid w:val="006C31B1"/>
    <w:rsid w:val="006C3CF1"/>
    <w:rsid w:val="006C4A87"/>
    <w:rsid w:val="006C6A47"/>
    <w:rsid w:val="006C7B45"/>
    <w:rsid w:val="006D3205"/>
    <w:rsid w:val="006D4036"/>
    <w:rsid w:val="006D6489"/>
    <w:rsid w:val="006D7CB1"/>
    <w:rsid w:val="006E0307"/>
    <w:rsid w:val="006E1ADD"/>
    <w:rsid w:val="006E27E3"/>
    <w:rsid w:val="006E4F47"/>
    <w:rsid w:val="006E7B35"/>
    <w:rsid w:val="006F2234"/>
    <w:rsid w:val="006F3995"/>
    <w:rsid w:val="00701DE9"/>
    <w:rsid w:val="007022FA"/>
    <w:rsid w:val="00704D18"/>
    <w:rsid w:val="00705FC0"/>
    <w:rsid w:val="00710244"/>
    <w:rsid w:val="00711F18"/>
    <w:rsid w:val="00712DA0"/>
    <w:rsid w:val="00713675"/>
    <w:rsid w:val="00713E55"/>
    <w:rsid w:val="00715F2E"/>
    <w:rsid w:val="00716A20"/>
    <w:rsid w:val="0071710E"/>
    <w:rsid w:val="00717BD2"/>
    <w:rsid w:val="00720352"/>
    <w:rsid w:val="00722936"/>
    <w:rsid w:val="00726474"/>
    <w:rsid w:val="007364BB"/>
    <w:rsid w:val="00740EA4"/>
    <w:rsid w:val="00741543"/>
    <w:rsid w:val="007418E1"/>
    <w:rsid w:val="00742589"/>
    <w:rsid w:val="00742609"/>
    <w:rsid w:val="00742910"/>
    <w:rsid w:val="00742A0D"/>
    <w:rsid w:val="00745350"/>
    <w:rsid w:val="00745CBE"/>
    <w:rsid w:val="00746770"/>
    <w:rsid w:val="00751775"/>
    <w:rsid w:val="0075217C"/>
    <w:rsid w:val="00756365"/>
    <w:rsid w:val="0076279F"/>
    <w:rsid w:val="007644E3"/>
    <w:rsid w:val="00765660"/>
    <w:rsid w:val="00766BB4"/>
    <w:rsid w:val="00771C83"/>
    <w:rsid w:val="0077228C"/>
    <w:rsid w:val="00773AB7"/>
    <w:rsid w:val="00773C0A"/>
    <w:rsid w:val="0077506C"/>
    <w:rsid w:val="007768D2"/>
    <w:rsid w:val="007800E7"/>
    <w:rsid w:val="00783A7B"/>
    <w:rsid w:val="00784D24"/>
    <w:rsid w:val="0078530C"/>
    <w:rsid w:val="00787D5F"/>
    <w:rsid w:val="00790E70"/>
    <w:rsid w:val="00791646"/>
    <w:rsid w:val="00795335"/>
    <w:rsid w:val="0079666D"/>
    <w:rsid w:val="00796F58"/>
    <w:rsid w:val="007A1646"/>
    <w:rsid w:val="007A1772"/>
    <w:rsid w:val="007A4C9D"/>
    <w:rsid w:val="007B0650"/>
    <w:rsid w:val="007B0C6A"/>
    <w:rsid w:val="007B502A"/>
    <w:rsid w:val="007B5560"/>
    <w:rsid w:val="007C1112"/>
    <w:rsid w:val="007C3004"/>
    <w:rsid w:val="007C4F7A"/>
    <w:rsid w:val="007C6E0A"/>
    <w:rsid w:val="007D03FC"/>
    <w:rsid w:val="007D1316"/>
    <w:rsid w:val="007D24AE"/>
    <w:rsid w:val="007D2E0A"/>
    <w:rsid w:val="007D318F"/>
    <w:rsid w:val="007D43FD"/>
    <w:rsid w:val="007D46E6"/>
    <w:rsid w:val="007D56C3"/>
    <w:rsid w:val="007D6AAA"/>
    <w:rsid w:val="007F1A2C"/>
    <w:rsid w:val="007F6C48"/>
    <w:rsid w:val="00801484"/>
    <w:rsid w:val="00801AD1"/>
    <w:rsid w:val="0080339D"/>
    <w:rsid w:val="00803D6A"/>
    <w:rsid w:val="00804E1C"/>
    <w:rsid w:val="00806C31"/>
    <w:rsid w:val="0081001A"/>
    <w:rsid w:val="00812D55"/>
    <w:rsid w:val="00813AAE"/>
    <w:rsid w:val="008161D0"/>
    <w:rsid w:val="00817545"/>
    <w:rsid w:val="00817638"/>
    <w:rsid w:val="00817E1D"/>
    <w:rsid w:val="00817F51"/>
    <w:rsid w:val="0082021A"/>
    <w:rsid w:val="00820C08"/>
    <w:rsid w:val="00821F7A"/>
    <w:rsid w:val="008226F4"/>
    <w:rsid w:val="00824F9B"/>
    <w:rsid w:val="008257CA"/>
    <w:rsid w:val="00830CD2"/>
    <w:rsid w:val="00830F55"/>
    <w:rsid w:val="0083266B"/>
    <w:rsid w:val="00835AC8"/>
    <w:rsid w:val="00842D23"/>
    <w:rsid w:val="00847330"/>
    <w:rsid w:val="00852825"/>
    <w:rsid w:val="00860285"/>
    <w:rsid w:val="0086138B"/>
    <w:rsid w:val="00861798"/>
    <w:rsid w:val="008644F4"/>
    <w:rsid w:val="008651F2"/>
    <w:rsid w:val="00866441"/>
    <w:rsid w:val="00866BC1"/>
    <w:rsid w:val="00867B9F"/>
    <w:rsid w:val="00870488"/>
    <w:rsid w:val="00873F5A"/>
    <w:rsid w:val="0088564D"/>
    <w:rsid w:val="00887984"/>
    <w:rsid w:val="008900C9"/>
    <w:rsid w:val="00891C94"/>
    <w:rsid w:val="00893522"/>
    <w:rsid w:val="00895998"/>
    <w:rsid w:val="0089712A"/>
    <w:rsid w:val="008A27CD"/>
    <w:rsid w:val="008A2A05"/>
    <w:rsid w:val="008A32DD"/>
    <w:rsid w:val="008A3C41"/>
    <w:rsid w:val="008A7448"/>
    <w:rsid w:val="008A7DF4"/>
    <w:rsid w:val="008B1220"/>
    <w:rsid w:val="008B25D3"/>
    <w:rsid w:val="008B7F6C"/>
    <w:rsid w:val="008C58DA"/>
    <w:rsid w:val="008C6B8D"/>
    <w:rsid w:val="008C701B"/>
    <w:rsid w:val="008C760B"/>
    <w:rsid w:val="008D16AC"/>
    <w:rsid w:val="008D339C"/>
    <w:rsid w:val="008D3CD9"/>
    <w:rsid w:val="008D43D9"/>
    <w:rsid w:val="008D5FCA"/>
    <w:rsid w:val="008E2DEC"/>
    <w:rsid w:val="008E35EE"/>
    <w:rsid w:val="008E45A6"/>
    <w:rsid w:val="008E4638"/>
    <w:rsid w:val="008E4E4F"/>
    <w:rsid w:val="008E6A12"/>
    <w:rsid w:val="008E7644"/>
    <w:rsid w:val="008E7A11"/>
    <w:rsid w:val="008F07C0"/>
    <w:rsid w:val="008F0D93"/>
    <w:rsid w:val="008F19F3"/>
    <w:rsid w:val="008F1DD0"/>
    <w:rsid w:val="008F308D"/>
    <w:rsid w:val="008F35D1"/>
    <w:rsid w:val="008F4860"/>
    <w:rsid w:val="008F4F12"/>
    <w:rsid w:val="008F59C7"/>
    <w:rsid w:val="008F7B89"/>
    <w:rsid w:val="00900CD4"/>
    <w:rsid w:val="00900ECC"/>
    <w:rsid w:val="00903666"/>
    <w:rsid w:val="00903E58"/>
    <w:rsid w:val="00904F1D"/>
    <w:rsid w:val="00911F68"/>
    <w:rsid w:val="0091372D"/>
    <w:rsid w:val="00913A59"/>
    <w:rsid w:val="00922805"/>
    <w:rsid w:val="00923A4C"/>
    <w:rsid w:val="00924625"/>
    <w:rsid w:val="00926BD6"/>
    <w:rsid w:val="00927E63"/>
    <w:rsid w:val="0093372E"/>
    <w:rsid w:val="00933D7A"/>
    <w:rsid w:val="0093569B"/>
    <w:rsid w:val="00937AE6"/>
    <w:rsid w:val="009430AE"/>
    <w:rsid w:val="009434E5"/>
    <w:rsid w:val="0094793D"/>
    <w:rsid w:val="0095099F"/>
    <w:rsid w:val="00950E9B"/>
    <w:rsid w:val="009526B4"/>
    <w:rsid w:val="00953692"/>
    <w:rsid w:val="009554DE"/>
    <w:rsid w:val="00955589"/>
    <w:rsid w:val="009601E0"/>
    <w:rsid w:val="00960A9C"/>
    <w:rsid w:val="00962914"/>
    <w:rsid w:val="00963C43"/>
    <w:rsid w:val="00963C77"/>
    <w:rsid w:val="00964920"/>
    <w:rsid w:val="00967BF7"/>
    <w:rsid w:val="00967E7F"/>
    <w:rsid w:val="00971429"/>
    <w:rsid w:val="00971610"/>
    <w:rsid w:val="00975B44"/>
    <w:rsid w:val="0097604A"/>
    <w:rsid w:val="00976916"/>
    <w:rsid w:val="00976DE3"/>
    <w:rsid w:val="009771DF"/>
    <w:rsid w:val="0098167F"/>
    <w:rsid w:val="00983A2C"/>
    <w:rsid w:val="00985CA3"/>
    <w:rsid w:val="00990F1A"/>
    <w:rsid w:val="00991E8C"/>
    <w:rsid w:val="0099306E"/>
    <w:rsid w:val="00994C54"/>
    <w:rsid w:val="00994D38"/>
    <w:rsid w:val="009A0811"/>
    <w:rsid w:val="009A245B"/>
    <w:rsid w:val="009A397A"/>
    <w:rsid w:val="009A42C6"/>
    <w:rsid w:val="009A4AD3"/>
    <w:rsid w:val="009B1813"/>
    <w:rsid w:val="009B397D"/>
    <w:rsid w:val="009B62A7"/>
    <w:rsid w:val="009B753C"/>
    <w:rsid w:val="009C0156"/>
    <w:rsid w:val="009C2D10"/>
    <w:rsid w:val="009C3677"/>
    <w:rsid w:val="009C4CD4"/>
    <w:rsid w:val="009C54C6"/>
    <w:rsid w:val="009C5868"/>
    <w:rsid w:val="009C6730"/>
    <w:rsid w:val="009C73AD"/>
    <w:rsid w:val="009C7583"/>
    <w:rsid w:val="009D2732"/>
    <w:rsid w:val="009D3291"/>
    <w:rsid w:val="009D537B"/>
    <w:rsid w:val="009E3A43"/>
    <w:rsid w:val="009E59D8"/>
    <w:rsid w:val="009E67F8"/>
    <w:rsid w:val="009F1A01"/>
    <w:rsid w:val="009F3583"/>
    <w:rsid w:val="009F40E9"/>
    <w:rsid w:val="009F4BFF"/>
    <w:rsid w:val="009F5612"/>
    <w:rsid w:val="009F5CCA"/>
    <w:rsid w:val="009F7D08"/>
    <w:rsid w:val="00A00929"/>
    <w:rsid w:val="00A024A0"/>
    <w:rsid w:val="00A04CF9"/>
    <w:rsid w:val="00A07507"/>
    <w:rsid w:val="00A10AD9"/>
    <w:rsid w:val="00A1298F"/>
    <w:rsid w:val="00A12A92"/>
    <w:rsid w:val="00A151C7"/>
    <w:rsid w:val="00A159CF"/>
    <w:rsid w:val="00A1665F"/>
    <w:rsid w:val="00A1783C"/>
    <w:rsid w:val="00A2117F"/>
    <w:rsid w:val="00A21940"/>
    <w:rsid w:val="00A226EA"/>
    <w:rsid w:val="00A22855"/>
    <w:rsid w:val="00A22F73"/>
    <w:rsid w:val="00A25476"/>
    <w:rsid w:val="00A263C5"/>
    <w:rsid w:val="00A26544"/>
    <w:rsid w:val="00A265D6"/>
    <w:rsid w:val="00A279A9"/>
    <w:rsid w:val="00A30CB7"/>
    <w:rsid w:val="00A31E5F"/>
    <w:rsid w:val="00A32178"/>
    <w:rsid w:val="00A332F4"/>
    <w:rsid w:val="00A33E37"/>
    <w:rsid w:val="00A34B96"/>
    <w:rsid w:val="00A35DB4"/>
    <w:rsid w:val="00A36AF4"/>
    <w:rsid w:val="00A43183"/>
    <w:rsid w:val="00A43766"/>
    <w:rsid w:val="00A45ECD"/>
    <w:rsid w:val="00A46F8B"/>
    <w:rsid w:val="00A51746"/>
    <w:rsid w:val="00A56469"/>
    <w:rsid w:val="00A56CD2"/>
    <w:rsid w:val="00A57F79"/>
    <w:rsid w:val="00A60FD8"/>
    <w:rsid w:val="00A61D82"/>
    <w:rsid w:val="00A63C5F"/>
    <w:rsid w:val="00A64B88"/>
    <w:rsid w:val="00A64E5F"/>
    <w:rsid w:val="00A71E56"/>
    <w:rsid w:val="00A72311"/>
    <w:rsid w:val="00A7489E"/>
    <w:rsid w:val="00A7707E"/>
    <w:rsid w:val="00A83F68"/>
    <w:rsid w:val="00A86261"/>
    <w:rsid w:val="00A934A3"/>
    <w:rsid w:val="00A94B40"/>
    <w:rsid w:val="00A973E7"/>
    <w:rsid w:val="00A97B9B"/>
    <w:rsid w:val="00AA134A"/>
    <w:rsid w:val="00AA2753"/>
    <w:rsid w:val="00AA5050"/>
    <w:rsid w:val="00AA6027"/>
    <w:rsid w:val="00AA6C8D"/>
    <w:rsid w:val="00AB054B"/>
    <w:rsid w:val="00AB0A73"/>
    <w:rsid w:val="00AB2B42"/>
    <w:rsid w:val="00AB758B"/>
    <w:rsid w:val="00AB7AAA"/>
    <w:rsid w:val="00AB7AF3"/>
    <w:rsid w:val="00AC2F1B"/>
    <w:rsid w:val="00AC377A"/>
    <w:rsid w:val="00AC6FE1"/>
    <w:rsid w:val="00AD0BD6"/>
    <w:rsid w:val="00AD0E3E"/>
    <w:rsid w:val="00AD2120"/>
    <w:rsid w:val="00AD3D17"/>
    <w:rsid w:val="00AD4C04"/>
    <w:rsid w:val="00AE172A"/>
    <w:rsid w:val="00AE78FC"/>
    <w:rsid w:val="00AF0F93"/>
    <w:rsid w:val="00AF1BD5"/>
    <w:rsid w:val="00AF262F"/>
    <w:rsid w:val="00AF2C08"/>
    <w:rsid w:val="00AF42E6"/>
    <w:rsid w:val="00AF476D"/>
    <w:rsid w:val="00AF522B"/>
    <w:rsid w:val="00B0335E"/>
    <w:rsid w:val="00B036F7"/>
    <w:rsid w:val="00B03E82"/>
    <w:rsid w:val="00B0443A"/>
    <w:rsid w:val="00B130DD"/>
    <w:rsid w:val="00B136FC"/>
    <w:rsid w:val="00B20905"/>
    <w:rsid w:val="00B21567"/>
    <w:rsid w:val="00B242BD"/>
    <w:rsid w:val="00B24D8D"/>
    <w:rsid w:val="00B26731"/>
    <w:rsid w:val="00B2783D"/>
    <w:rsid w:val="00B315F1"/>
    <w:rsid w:val="00B3165E"/>
    <w:rsid w:val="00B33BCF"/>
    <w:rsid w:val="00B34737"/>
    <w:rsid w:val="00B34BC8"/>
    <w:rsid w:val="00B3681F"/>
    <w:rsid w:val="00B36C97"/>
    <w:rsid w:val="00B36ED8"/>
    <w:rsid w:val="00B4263A"/>
    <w:rsid w:val="00B43816"/>
    <w:rsid w:val="00B45D20"/>
    <w:rsid w:val="00B51019"/>
    <w:rsid w:val="00B53B09"/>
    <w:rsid w:val="00B56682"/>
    <w:rsid w:val="00B579F6"/>
    <w:rsid w:val="00B62626"/>
    <w:rsid w:val="00B708C6"/>
    <w:rsid w:val="00B711C9"/>
    <w:rsid w:val="00B74F79"/>
    <w:rsid w:val="00B754B9"/>
    <w:rsid w:val="00B76331"/>
    <w:rsid w:val="00B76BE8"/>
    <w:rsid w:val="00B8141A"/>
    <w:rsid w:val="00B84A5C"/>
    <w:rsid w:val="00B85BE7"/>
    <w:rsid w:val="00B8698D"/>
    <w:rsid w:val="00B961A8"/>
    <w:rsid w:val="00B968A3"/>
    <w:rsid w:val="00B97458"/>
    <w:rsid w:val="00BA3398"/>
    <w:rsid w:val="00BA4461"/>
    <w:rsid w:val="00BA45CC"/>
    <w:rsid w:val="00BA6987"/>
    <w:rsid w:val="00BA6A62"/>
    <w:rsid w:val="00BA6B14"/>
    <w:rsid w:val="00BB16CC"/>
    <w:rsid w:val="00BB17A5"/>
    <w:rsid w:val="00BB19BC"/>
    <w:rsid w:val="00BB53BB"/>
    <w:rsid w:val="00BC0878"/>
    <w:rsid w:val="00BC0E9F"/>
    <w:rsid w:val="00BC1E8E"/>
    <w:rsid w:val="00BC311B"/>
    <w:rsid w:val="00BC3CF1"/>
    <w:rsid w:val="00BC5B81"/>
    <w:rsid w:val="00BC6672"/>
    <w:rsid w:val="00BC6BAC"/>
    <w:rsid w:val="00BD0F10"/>
    <w:rsid w:val="00BD1861"/>
    <w:rsid w:val="00BD3FA8"/>
    <w:rsid w:val="00BD6523"/>
    <w:rsid w:val="00BD7443"/>
    <w:rsid w:val="00BE188F"/>
    <w:rsid w:val="00BE682C"/>
    <w:rsid w:val="00BE7F62"/>
    <w:rsid w:val="00BF005A"/>
    <w:rsid w:val="00BF1C9F"/>
    <w:rsid w:val="00BF2B8F"/>
    <w:rsid w:val="00BF4FFD"/>
    <w:rsid w:val="00C01DBF"/>
    <w:rsid w:val="00C0252E"/>
    <w:rsid w:val="00C0394F"/>
    <w:rsid w:val="00C10D12"/>
    <w:rsid w:val="00C1164D"/>
    <w:rsid w:val="00C12D81"/>
    <w:rsid w:val="00C156B8"/>
    <w:rsid w:val="00C15C26"/>
    <w:rsid w:val="00C172F8"/>
    <w:rsid w:val="00C20769"/>
    <w:rsid w:val="00C21E1B"/>
    <w:rsid w:val="00C31FBA"/>
    <w:rsid w:val="00C37195"/>
    <w:rsid w:val="00C40055"/>
    <w:rsid w:val="00C41DBA"/>
    <w:rsid w:val="00C41E91"/>
    <w:rsid w:val="00C44014"/>
    <w:rsid w:val="00C44C9C"/>
    <w:rsid w:val="00C453B0"/>
    <w:rsid w:val="00C47F83"/>
    <w:rsid w:val="00C51FB4"/>
    <w:rsid w:val="00C54697"/>
    <w:rsid w:val="00C57701"/>
    <w:rsid w:val="00C61CE6"/>
    <w:rsid w:val="00C634FD"/>
    <w:rsid w:val="00C643DC"/>
    <w:rsid w:val="00C64C10"/>
    <w:rsid w:val="00C6788F"/>
    <w:rsid w:val="00C72DD8"/>
    <w:rsid w:val="00C75086"/>
    <w:rsid w:val="00C758E2"/>
    <w:rsid w:val="00C77383"/>
    <w:rsid w:val="00C814CF"/>
    <w:rsid w:val="00C82011"/>
    <w:rsid w:val="00C851AF"/>
    <w:rsid w:val="00C932BE"/>
    <w:rsid w:val="00C95E70"/>
    <w:rsid w:val="00C979BF"/>
    <w:rsid w:val="00CA37AC"/>
    <w:rsid w:val="00CA454C"/>
    <w:rsid w:val="00CA595A"/>
    <w:rsid w:val="00CB1ED3"/>
    <w:rsid w:val="00CB2402"/>
    <w:rsid w:val="00CB2B7F"/>
    <w:rsid w:val="00CB3974"/>
    <w:rsid w:val="00CB411C"/>
    <w:rsid w:val="00CB4238"/>
    <w:rsid w:val="00CB6A1C"/>
    <w:rsid w:val="00CB6B07"/>
    <w:rsid w:val="00CC4D18"/>
    <w:rsid w:val="00CC6116"/>
    <w:rsid w:val="00CC79DC"/>
    <w:rsid w:val="00CD2192"/>
    <w:rsid w:val="00CD2581"/>
    <w:rsid w:val="00CD31CE"/>
    <w:rsid w:val="00CD4144"/>
    <w:rsid w:val="00CD5700"/>
    <w:rsid w:val="00CD5FD1"/>
    <w:rsid w:val="00CD621F"/>
    <w:rsid w:val="00CD64F6"/>
    <w:rsid w:val="00CD6BAD"/>
    <w:rsid w:val="00CE38EA"/>
    <w:rsid w:val="00CE447E"/>
    <w:rsid w:val="00CE69F4"/>
    <w:rsid w:val="00CF0128"/>
    <w:rsid w:val="00CF108B"/>
    <w:rsid w:val="00CF1886"/>
    <w:rsid w:val="00CF20C3"/>
    <w:rsid w:val="00CF4B83"/>
    <w:rsid w:val="00D04857"/>
    <w:rsid w:val="00D04F16"/>
    <w:rsid w:val="00D07BB6"/>
    <w:rsid w:val="00D10115"/>
    <w:rsid w:val="00D12A46"/>
    <w:rsid w:val="00D12AB3"/>
    <w:rsid w:val="00D153E2"/>
    <w:rsid w:val="00D15640"/>
    <w:rsid w:val="00D15EB9"/>
    <w:rsid w:val="00D17621"/>
    <w:rsid w:val="00D179F7"/>
    <w:rsid w:val="00D20154"/>
    <w:rsid w:val="00D20B79"/>
    <w:rsid w:val="00D2253F"/>
    <w:rsid w:val="00D22DED"/>
    <w:rsid w:val="00D22F62"/>
    <w:rsid w:val="00D31444"/>
    <w:rsid w:val="00D31647"/>
    <w:rsid w:val="00D34B9D"/>
    <w:rsid w:val="00D35F81"/>
    <w:rsid w:val="00D36AEA"/>
    <w:rsid w:val="00D3707D"/>
    <w:rsid w:val="00D37969"/>
    <w:rsid w:val="00D45E80"/>
    <w:rsid w:val="00D46D14"/>
    <w:rsid w:val="00D56FC9"/>
    <w:rsid w:val="00D62CE1"/>
    <w:rsid w:val="00D64A0C"/>
    <w:rsid w:val="00D657E6"/>
    <w:rsid w:val="00D66E68"/>
    <w:rsid w:val="00D67505"/>
    <w:rsid w:val="00D71B0B"/>
    <w:rsid w:val="00D75131"/>
    <w:rsid w:val="00D752CB"/>
    <w:rsid w:val="00D75C27"/>
    <w:rsid w:val="00D75FBC"/>
    <w:rsid w:val="00D77309"/>
    <w:rsid w:val="00D80CBC"/>
    <w:rsid w:val="00D87D6D"/>
    <w:rsid w:val="00D92E8A"/>
    <w:rsid w:val="00D953C2"/>
    <w:rsid w:val="00D95C62"/>
    <w:rsid w:val="00DA3641"/>
    <w:rsid w:val="00DA62BD"/>
    <w:rsid w:val="00DA788C"/>
    <w:rsid w:val="00DB0A9E"/>
    <w:rsid w:val="00DB4F05"/>
    <w:rsid w:val="00DB54AE"/>
    <w:rsid w:val="00DB7E6F"/>
    <w:rsid w:val="00DC0AA2"/>
    <w:rsid w:val="00DC1658"/>
    <w:rsid w:val="00DC337E"/>
    <w:rsid w:val="00DC47BE"/>
    <w:rsid w:val="00DC528E"/>
    <w:rsid w:val="00DC7EE7"/>
    <w:rsid w:val="00DD103F"/>
    <w:rsid w:val="00DD2116"/>
    <w:rsid w:val="00DD2BE8"/>
    <w:rsid w:val="00DD3A14"/>
    <w:rsid w:val="00DD4AD0"/>
    <w:rsid w:val="00DD4AE5"/>
    <w:rsid w:val="00DD60AA"/>
    <w:rsid w:val="00DE16A4"/>
    <w:rsid w:val="00DE406C"/>
    <w:rsid w:val="00DE51BF"/>
    <w:rsid w:val="00DE55C1"/>
    <w:rsid w:val="00DE55D3"/>
    <w:rsid w:val="00DE6205"/>
    <w:rsid w:val="00DE62C1"/>
    <w:rsid w:val="00DE655F"/>
    <w:rsid w:val="00DF255A"/>
    <w:rsid w:val="00E034FE"/>
    <w:rsid w:val="00E03A17"/>
    <w:rsid w:val="00E040E8"/>
    <w:rsid w:val="00E06C2B"/>
    <w:rsid w:val="00E06C81"/>
    <w:rsid w:val="00E1266E"/>
    <w:rsid w:val="00E1589C"/>
    <w:rsid w:val="00E177B8"/>
    <w:rsid w:val="00E21199"/>
    <w:rsid w:val="00E220B1"/>
    <w:rsid w:val="00E25291"/>
    <w:rsid w:val="00E255E4"/>
    <w:rsid w:val="00E25D1D"/>
    <w:rsid w:val="00E30F14"/>
    <w:rsid w:val="00E3116F"/>
    <w:rsid w:val="00E31748"/>
    <w:rsid w:val="00E401DE"/>
    <w:rsid w:val="00E416F7"/>
    <w:rsid w:val="00E44D2D"/>
    <w:rsid w:val="00E46B0B"/>
    <w:rsid w:val="00E50D1D"/>
    <w:rsid w:val="00E51B5C"/>
    <w:rsid w:val="00E51EFA"/>
    <w:rsid w:val="00E52D41"/>
    <w:rsid w:val="00E52DA7"/>
    <w:rsid w:val="00E54EB3"/>
    <w:rsid w:val="00E555D6"/>
    <w:rsid w:val="00E564A5"/>
    <w:rsid w:val="00E57A07"/>
    <w:rsid w:val="00E6090C"/>
    <w:rsid w:val="00E630CC"/>
    <w:rsid w:val="00E67309"/>
    <w:rsid w:val="00E713E3"/>
    <w:rsid w:val="00E724F6"/>
    <w:rsid w:val="00E73346"/>
    <w:rsid w:val="00E740E4"/>
    <w:rsid w:val="00E74594"/>
    <w:rsid w:val="00E74F2B"/>
    <w:rsid w:val="00E75ED5"/>
    <w:rsid w:val="00E7664C"/>
    <w:rsid w:val="00E76685"/>
    <w:rsid w:val="00E76C2A"/>
    <w:rsid w:val="00E77491"/>
    <w:rsid w:val="00E84C6B"/>
    <w:rsid w:val="00E85935"/>
    <w:rsid w:val="00E97C4C"/>
    <w:rsid w:val="00EA1DD7"/>
    <w:rsid w:val="00EA242E"/>
    <w:rsid w:val="00EA2499"/>
    <w:rsid w:val="00EA3684"/>
    <w:rsid w:val="00EA4925"/>
    <w:rsid w:val="00EB1636"/>
    <w:rsid w:val="00EB16CA"/>
    <w:rsid w:val="00EB1F73"/>
    <w:rsid w:val="00EB2D08"/>
    <w:rsid w:val="00EB5827"/>
    <w:rsid w:val="00EB7004"/>
    <w:rsid w:val="00EC0042"/>
    <w:rsid w:val="00EC0906"/>
    <w:rsid w:val="00EC0F45"/>
    <w:rsid w:val="00EC4E4F"/>
    <w:rsid w:val="00EC52F4"/>
    <w:rsid w:val="00ED0257"/>
    <w:rsid w:val="00ED492C"/>
    <w:rsid w:val="00ED595E"/>
    <w:rsid w:val="00ED5C2C"/>
    <w:rsid w:val="00ED5D9B"/>
    <w:rsid w:val="00ED7094"/>
    <w:rsid w:val="00ED70E8"/>
    <w:rsid w:val="00ED7836"/>
    <w:rsid w:val="00EE3AB3"/>
    <w:rsid w:val="00EE3DD7"/>
    <w:rsid w:val="00EE7770"/>
    <w:rsid w:val="00EF055F"/>
    <w:rsid w:val="00EF234C"/>
    <w:rsid w:val="00EF5857"/>
    <w:rsid w:val="00EF64D6"/>
    <w:rsid w:val="00F012B9"/>
    <w:rsid w:val="00F107F2"/>
    <w:rsid w:val="00F10971"/>
    <w:rsid w:val="00F12C7D"/>
    <w:rsid w:val="00F13072"/>
    <w:rsid w:val="00F13C13"/>
    <w:rsid w:val="00F14A08"/>
    <w:rsid w:val="00F158FF"/>
    <w:rsid w:val="00F1593D"/>
    <w:rsid w:val="00F1746A"/>
    <w:rsid w:val="00F2173B"/>
    <w:rsid w:val="00F237B1"/>
    <w:rsid w:val="00F243B7"/>
    <w:rsid w:val="00F252EA"/>
    <w:rsid w:val="00F26BB1"/>
    <w:rsid w:val="00F317D6"/>
    <w:rsid w:val="00F3380C"/>
    <w:rsid w:val="00F34199"/>
    <w:rsid w:val="00F3579C"/>
    <w:rsid w:val="00F37871"/>
    <w:rsid w:val="00F40194"/>
    <w:rsid w:val="00F424A2"/>
    <w:rsid w:val="00F430F5"/>
    <w:rsid w:val="00F4316C"/>
    <w:rsid w:val="00F50BDA"/>
    <w:rsid w:val="00F51322"/>
    <w:rsid w:val="00F53877"/>
    <w:rsid w:val="00F57454"/>
    <w:rsid w:val="00F576CD"/>
    <w:rsid w:val="00F618E0"/>
    <w:rsid w:val="00F62DB5"/>
    <w:rsid w:val="00F634B4"/>
    <w:rsid w:val="00F665E0"/>
    <w:rsid w:val="00F66DE9"/>
    <w:rsid w:val="00F66FEB"/>
    <w:rsid w:val="00F771F1"/>
    <w:rsid w:val="00F81837"/>
    <w:rsid w:val="00F824BC"/>
    <w:rsid w:val="00F83832"/>
    <w:rsid w:val="00F8417F"/>
    <w:rsid w:val="00F84FFB"/>
    <w:rsid w:val="00F90A38"/>
    <w:rsid w:val="00F913BE"/>
    <w:rsid w:val="00F91589"/>
    <w:rsid w:val="00F925FD"/>
    <w:rsid w:val="00F937E4"/>
    <w:rsid w:val="00F94D94"/>
    <w:rsid w:val="00F95302"/>
    <w:rsid w:val="00F95C22"/>
    <w:rsid w:val="00F97897"/>
    <w:rsid w:val="00F97CC2"/>
    <w:rsid w:val="00FA067E"/>
    <w:rsid w:val="00FA115E"/>
    <w:rsid w:val="00FA4F35"/>
    <w:rsid w:val="00FA6009"/>
    <w:rsid w:val="00FB16FD"/>
    <w:rsid w:val="00FB3C92"/>
    <w:rsid w:val="00FB577C"/>
    <w:rsid w:val="00FC018A"/>
    <w:rsid w:val="00FC351D"/>
    <w:rsid w:val="00FC3ECC"/>
    <w:rsid w:val="00FC4585"/>
    <w:rsid w:val="00FC4F5D"/>
    <w:rsid w:val="00FC6DC0"/>
    <w:rsid w:val="00FC6E57"/>
    <w:rsid w:val="00FD69F2"/>
    <w:rsid w:val="00FD6CF9"/>
    <w:rsid w:val="00FD75E7"/>
    <w:rsid w:val="00FD7B04"/>
    <w:rsid w:val="00FE3C7D"/>
    <w:rsid w:val="00FE6552"/>
    <w:rsid w:val="00FF2A6C"/>
    <w:rsid w:val="00FF6022"/>
    <w:rsid w:val="02CF33D1"/>
    <w:rsid w:val="04A47BE1"/>
    <w:rsid w:val="04BF5FE8"/>
    <w:rsid w:val="0532391A"/>
    <w:rsid w:val="05E54404"/>
    <w:rsid w:val="0646775F"/>
    <w:rsid w:val="065B0F41"/>
    <w:rsid w:val="08F4000A"/>
    <w:rsid w:val="097C29F7"/>
    <w:rsid w:val="0BA67166"/>
    <w:rsid w:val="0BD93BB3"/>
    <w:rsid w:val="0CC1430F"/>
    <w:rsid w:val="0D592CA9"/>
    <w:rsid w:val="0D6F118A"/>
    <w:rsid w:val="0DBF249A"/>
    <w:rsid w:val="0EF92850"/>
    <w:rsid w:val="102A3C05"/>
    <w:rsid w:val="107F6B73"/>
    <w:rsid w:val="10CA6D00"/>
    <w:rsid w:val="11B91E60"/>
    <w:rsid w:val="12F20FDC"/>
    <w:rsid w:val="13BD6054"/>
    <w:rsid w:val="13C6382A"/>
    <w:rsid w:val="14045F4D"/>
    <w:rsid w:val="14D462A4"/>
    <w:rsid w:val="15525720"/>
    <w:rsid w:val="15634F14"/>
    <w:rsid w:val="17355C67"/>
    <w:rsid w:val="179003FC"/>
    <w:rsid w:val="17B6575C"/>
    <w:rsid w:val="1877553C"/>
    <w:rsid w:val="189969FE"/>
    <w:rsid w:val="19E00BF7"/>
    <w:rsid w:val="1A890169"/>
    <w:rsid w:val="1ABC13C9"/>
    <w:rsid w:val="1C204CEF"/>
    <w:rsid w:val="1D8C53F9"/>
    <w:rsid w:val="1E9E09C0"/>
    <w:rsid w:val="1EA41468"/>
    <w:rsid w:val="20E70929"/>
    <w:rsid w:val="21761C30"/>
    <w:rsid w:val="21CE350C"/>
    <w:rsid w:val="22650FCA"/>
    <w:rsid w:val="23A0206B"/>
    <w:rsid w:val="24415AB1"/>
    <w:rsid w:val="246D6EB5"/>
    <w:rsid w:val="249541BB"/>
    <w:rsid w:val="256727D6"/>
    <w:rsid w:val="25C12B29"/>
    <w:rsid w:val="26420A5E"/>
    <w:rsid w:val="274709CA"/>
    <w:rsid w:val="27754521"/>
    <w:rsid w:val="27E16345"/>
    <w:rsid w:val="28F96E9A"/>
    <w:rsid w:val="29186A88"/>
    <w:rsid w:val="29247CBF"/>
    <w:rsid w:val="29BF1C98"/>
    <w:rsid w:val="2B005623"/>
    <w:rsid w:val="2B542D52"/>
    <w:rsid w:val="2BC40021"/>
    <w:rsid w:val="2C062F43"/>
    <w:rsid w:val="2D70111B"/>
    <w:rsid w:val="2D8F78BB"/>
    <w:rsid w:val="30460314"/>
    <w:rsid w:val="30511F0C"/>
    <w:rsid w:val="30B33BA3"/>
    <w:rsid w:val="32404D1D"/>
    <w:rsid w:val="329C180D"/>
    <w:rsid w:val="32B305F3"/>
    <w:rsid w:val="32B77188"/>
    <w:rsid w:val="33481D23"/>
    <w:rsid w:val="33ED58F1"/>
    <w:rsid w:val="34910D3D"/>
    <w:rsid w:val="349E4587"/>
    <w:rsid w:val="356A7437"/>
    <w:rsid w:val="3574748D"/>
    <w:rsid w:val="36F31F7D"/>
    <w:rsid w:val="3A5423D6"/>
    <w:rsid w:val="3D1C054A"/>
    <w:rsid w:val="3D3B1AC9"/>
    <w:rsid w:val="3D9D1520"/>
    <w:rsid w:val="3DDA3F81"/>
    <w:rsid w:val="3DF22185"/>
    <w:rsid w:val="3E173106"/>
    <w:rsid w:val="3E504BB5"/>
    <w:rsid w:val="3ED16FB4"/>
    <w:rsid w:val="3F42378F"/>
    <w:rsid w:val="3FB247E8"/>
    <w:rsid w:val="41DC78BB"/>
    <w:rsid w:val="41E92AFE"/>
    <w:rsid w:val="424242E9"/>
    <w:rsid w:val="431234DF"/>
    <w:rsid w:val="43E60018"/>
    <w:rsid w:val="442F1FE4"/>
    <w:rsid w:val="456D6251"/>
    <w:rsid w:val="46D51FC9"/>
    <w:rsid w:val="46F52E09"/>
    <w:rsid w:val="471763B6"/>
    <w:rsid w:val="47ED2091"/>
    <w:rsid w:val="483121C9"/>
    <w:rsid w:val="48810872"/>
    <w:rsid w:val="491C64EF"/>
    <w:rsid w:val="497C7FFE"/>
    <w:rsid w:val="4A5D3D80"/>
    <w:rsid w:val="4A5D5DC2"/>
    <w:rsid w:val="4A7A5939"/>
    <w:rsid w:val="4B085A0C"/>
    <w:rsid w:val="4C394266"/>
    <w:rsid w:val="4C8C256C"/>
    <w:rsid w:val="4CF37E3D"/>
    <w:rsid w:val="4E6B422E"/>
    <w:rsid w:val="4FD03C75"/>
    <w:rsid w:val="51A531EC"/>
    <w:rsid w:val="5276671B"/>
    <w:rsid w:val="528E6202"/>
    <w:rsid w:val="529711C7"/>
    <w:rsid w:val="535C6976"/>
    <w:rsid w:val="537514BA"/>
    <w:rsid w:val="5ACB5DCD"/>
    <w:rsid w:val="5B0B6A56"/>
    <w:rsid w:val="5B603B1D"/>
    <w:rsid w:val="5D8D77B1"/>
    <w:rsid w:val="5E7218DC"/>
    <w:rsid w:val="5F7E4E1F"/>
    <w:rsid w:val="5FC45DCA"/>
    <w:rsid w:val="60A50108"/>
    <w:rsid w:val="60CD0431"/>
    <w:rsid w:val="61DE4B40"/>
    <w:rsid w:val="642B700E"/>
    <w:rsid w:val="64E50D7C"/>
    <w:rsid w:val="66701BF3"/>
    <w:rsid w:val="67C1759E"/>
    <w:rsid w:val="6A272885"/>
    <w:rsid w:val="6B113B0F"/>
    <w:rsid w:val="6B404A6C"/>
    <w:rsid w:val="6B973EC4"/>
    <w:rsid w:val="6C3E0B1B"/>
    <w:rsid w:val="6C575D90"/>
    <w:rsid w:val="6D1B4E79"/>
    <w:rsid w:val="6D575EF8"/>
    <w:rsid w:val="6EC31417"/>
    <w:rsid w:val="6EE321ED"/>
    <w:rsid w:val="6F276A7C"/>
    <w:rsid w:val="70331E75"/>
    <w:rsid w:val="70403625"/>
    <w:rsid w:val="70FA745A"/>
    <w:rsid w:val="72BB7B17"/>
    <w:rsid w:val="73FF2845"/>
    <w:rsid w:val="74462428"/>
    <w:rsid w:val="74EF3314"/>
    <w:rsid w:val="764B3DB8"/>
    <w:rsid w:val="785969A4"/>
    <w:rsid w:val="79127C41"/>
    <w:rsid w:val="797D6447"/>
    <w:rsid w:val="79E42835"/>
    <w:rsid w:val="7CBB7763"/>
    <w:rsid w:val="7EAF6D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54D8E7"/>
  <w15:docId w15:val="{30D56503-D9E1-48B9-AE1C-2BCEB4EFC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paragraph" w:styleId="2">
    <w:name w:val="heading 2"/>
    <w:basedOn w:val="a"/>
    <w:next w:val="a0"/>
    <w:link w:val="2Char"/>
    <w:qFormat/>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rPr>
      <w:rFonts w:ascii="Times New Roman" w:hAnsi="Times New Roman"/>
      <w:szCs w:val="24"/>
    </w:rPr>
  </w:style>
  <w:style w:type="paragraph" w:styleId="7">
    <w:name w:val="toc 7"/>
    <w:basedOn w:val="a"/>
    <w:next w:val="a"/>
    <w:qFormat/>
    <w:pPr>
      <w:ind w:leftChars="1200" w:left="2520"/>
    </w:pPr>
    <w:rPr>
      <w:rFonts w:ascii="Times New Roman" w:hAnsi="Times New Roman"/>
      <w:szCs w:val="24"/>
    </w:rPr>
  </w:style>
  <w:style w:type="paragraph" w:styleId="a4">
    <w:name w:val="annotation text"/>
    <w:basedOn w:val="a"/>
    <w:link w:val="Char"/>
    <w:qFormat/>
    <w:pPr>
      <w:jc w:val="left"/>
    </w:pPr>
    <w:rPr>
      <w:rFonts w:ascii="Times New Roman" w:hAnsi="Times New Roman"/>
      <w:szCs w:val="24"/>
    </w:rPr>
  </w:style>
  <w:style w:type="paragraph" w:styleId="a5">
    <w:name w:val="Body Text"/>
    <w:basedOn w:val="a"/>
    <w:link w:val="Char0"/>
    <w:qFormat/>
    <w:pPr>
      <w:spacing w:line="360" w:lineRule="auto"/>
    </w:pPr>
    <w:rPr>
      <w:rFonts w:ascii="仿宋_GB2312" w:eastAsia="仿宋_GB2312" w:hAnsi="Times New Roman"/>
      <w:color w:val="000000"/>
      <w:kern w:val="0"/>
      <w:sz w:val="24"/>
      <w:szCs w:val="28"/>
    </w:rPr>
  </w:style>
  <w:style w:type="paragraph" w:styleId="a6">
    <w:name w:val="Body Text Indent"/>
    <w:basedOn w:val="a"/>
    <w:link w:val="Char1"/>
    <w:qFormat/>
    <w:pPr>
      <w:adjustRightInd w:val="0"/>
      <w:snapToGrid w:val="0"/>
      <w:spacing w:line="560" w:lineRule="exact"/>
      <w:ind w:firstLineChars="200" w:firstLine="480"/>
    </w:pPr>
    <w:rPr>
      <w:rFonts w:ascii="Times New Roman" w:eastAsia="方正仿宋简体" w:hAnsi="Times New Roman"/>
      <w:sz w:val="24"/>
      <w:szCs w:val="30"/>
    </w:rPr>
  </w:style>
  <w:style w:type="paragraph" w:styleId="5">
    <w:name w:val="toc 5"/>
    <w:basedOn w:val="a"/>
    <w:next w:val="a"/>
    <w:qFormat/>
    <w:pPr>
      <w:ind w:leftChars="800" w:left="1680"/>
    </w:pPr>
    <w:rPr>
      <w:rFonts w:ascii="Times New Roman" w:hAnsi="Times New Roman"/>
      <w:szCs w:val="24"/>
    </w:rPr>
  </w:style>
  <w:style w:type="paragraph" w:styleId="3">
    <w:name w:val="toc 3"/>
    <w:basedOn w:val="a"/>
    <w:next w:val="a"/>
    <w:qFormat/>
    <w:pPr>
      <w:ind w:leftChars="400" w:left="840"/>
    </w:pPr>
    <w:rPr>
      <w:rFonts w:ascii="Times New Roman" w:hAnsi="Times New Roman"/>
      <w:szCs w:val="24"/>
    </w:rPr>
  </w:style>
  <w:style w:type="paragraph" w:styleId="8">
    <w:name w:val="toc 8"/>
    <w:basedOn w:val="a"/>
    <w:next w:val="a"/>
    <w:qFormat/>
    <w:pPr>
      <w:ind w:leftChars="1400" w:left="2940"/>
    </w:pPr>
    <w:rPr>
      <w:rFonts w:ascii="Times New Roman" w:hAnsi="Times New Roman"/>
      <w:szCs w:val="24"/>
    </w:rPr>
  </w:style>
  <w:style w:type="paragraph" w:styleId="20">
    <w:name w:val="Body Text Indent 2"/>
    <w:basedOn w:val="a"/>
    <w:link w:val="2Char0"/>
    <w:qFormat/>
    <w:pPr>
      <w:spacing w:line="360" w:lineRule="auto"/>
      <w:ind w:firstLine="525"/>
    </w:pPr>
    <w:rPr>
      <w:rFonts w:ascii="宋体" w:hAnsi="宋体"/>
      <w:sz w:val="28"/>
      <w:szCs w:val="20"/>
    </w:rPr>
  </w:style>
  <w:style w:type="paragraph" w:styleId="a7">
    <w:name w:val="Balloon Text"/>
    <w:basedOn w:val="a"/>
    <w:link w:val="Char2"/>
    <w:qFormat/>
    <w:rPr>
      <w:rFonts w:ascii="Times New Roman" w:hAnsi="Times New Roman"/>
      <w:sz w:val="18"/>
      <w:szCs w:val="18"/>
    </w:rPr>
  </w:style>
  <w:style w:type="paragraph" w:styleId="a8">
    <w:name w:val="footer"/>
    <w:basedOn w:val="a"/>
    <w:link w:val="Char3"/>
    <w:qFormat/>
    <w:pPr>
      <w:tabs>
        <w:tab w:val="center" w:pos="4153"/>
        <w:tab w:val="right" w:pos="8306"/>
      </w:tabs>
      <w:snapToGrid w:val="0"/>
      <w:jc w:val="left"/>
    </w:pPr>
    <w:rPr>
      <w:rFonts w:ascii="Times New Roman" w:hAnsi="Times New Roman"/>
      <w:sz w:val="18"/>
      <w:szCs w:val="18"/>
    </w:rPr>
  </w:style>
  <w:style w:type="paragraph" w:styleId="a9">
    <w:name w:val="header"/>
    <w:basedOn w:val="a"/>
    <w:link w:val="Char4"/>
    <w:qFormat/>
    <w:pPr>
      <w:pBdr>
        <w:bottom w:val="single" w:sz="6" w:space="1" w:color="auto"/>
      </w:pBdr>
      <w:tabs>
        <w:tab w:val="center" w:pos="4153"/>
        <w:tab w:val="right" w:pos="8306"/>
      </w:tabs>
      <w:snapToGrid w:val="0"/>
      <w:jc w:val="center"/>
    </w:pPr>
    <w:rPr>
      <w:rFonts w:ascii="Times New Roman" w:hAnsi="Times New Roman"/>
      <w:sz w:val="18"/>
      <w:szCs w:val="18"/>
    </w:rPr>
  </w:style>
  <w:style w:type="paragraph" w:styleId="1">
    <w:name w:val="toc 1"/>
    <w:basedOn w:val="a"/>
    <w:next w:val="a"/>
    <w:qFormat/>
    <w:rPr>
      <w:rFonts w:ascii="Times New Roman" w:hAnsi="Times New Roman"/>
      <w:szCs w:val="24"/>
    </w:rPr>
  </w:style>
  <w:style w:type="paragraph" w:styleId="4">
    <w:name w:val="toc 4"/>
    <w:basedOn w:val="a"/>
    <w:next w:val="a"/>
    <w:qFormat/>
    <w:pPr>
      <w:ind w:leftChars="600" w:left="1260"/>
    </w:pPr>
    <w:rPr>
      <w:rFonts w:ascii="Times New Roman" w:hAnsi="Times New Roman"/>
      <w:szCs w:val="24"/>
    </w:rPr>
  </w:style>
  <w:style w:type="paragraph" w:styleId="6">
    <w:name w:val="toc 6"/>
    <w:basedOn w:val="a"/>
    <w:next w:val="a"/>
    <w:qFormat/>
    <w:pPr>
      <w:ind w:leftChars="1000" w:left="2100"/>
    </w:pPr>
    <w:rPr>
      <w:rFonts w:ascii="Times New Roman" w:hAnsi="Times New Roman"/>
      <w:szCs w:val="24"/>
    </w:rPr>
  </w:style>
  <w:style w:type="paragraph" w:styleId="30">
    <w:name w:val="Body Text Indent 3"/>
    <w:basedOn w:val="a"/>
    <w:link w:val="3Char"/>
    <w:qFormat/>
    <w:pPr>
      <w:adjustRightInd w:val="0"/>
      <w:snapToGrid w:val="0"/>
      <w:ind w:firstLineChars="200" w:firstLine="480"/>
    </w:pPr>
    <w:rPr>
      <w:rFonts w:ascii="仿宋_GB2312" w:eastAsia="仿宋_GB2312" w:hAnsi="宋体" w:cs="Arial"/>
      <w:color w:val="000000"/>
      <w:sz w:val="24"/>
      <w:szCs w:val="24"/>
    </w:rPr>
  </w:style>
  <w:style w:type="paragraph" w:styleId="21">
    <w:name w:val="toc 2"/>
    <w:basedOn w:val="a"/>
    <w:next w:val="a"/>
    <w:qFormat/>
    <w:pPr>
      <w:tabs>
        <w:tab w:val="right" w:leader="dot" w:pos="8494"/>
      </w:tabs>
      <w:ind w:leftChars="200" w:left="420"/>
    </w:pPr>
    <w:rPr>
      <w:rFonts w:ascii="Times New Roman" w:hAnsi="Times New Roman"/>
      <w:szCs w:val="24"/>
    </w:rPr>
  </w:style>
  <w:style w:type="paragraph" w:styleId="9">
    <w:name w:val="toc 9"/>
    <w:basedOn w:val="a"/>
    <w:next w:val="a"/>
    <w:qFormat/>
    <w:pPr>
      <w:ind w:leftChars="1600" w:left="3360"/>
    </w:pPr>
    <w:rPr>
      <w:rFonts w:ascii="Times New Roman" w:hAnsi="Times New Roman"/>
      <w:szCs w:val="24"/>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a">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styleId="ab">
    <w:name w:val="annotation subject"/>
    <w:basedOn w:val="a4"/>
    <w:next w:val="a4"/>
    <w:link w:val="Char5"/>
    <w:qFormat/>
    <w:rPr>
      <w:rFonts w:ascii="Calibri" w:hAnsi="Calibri" w:cs="Calibri"/>
      <w:b/>
      <w:bCs/>
    </w:rPr>
  </w:style>
  <w:style w:type="character" w:styleId="ac">
    <w:name w:val="Strong"/>
    <w:qFormat/>
    <w:rPr>
      <w:rFonts w:ascii="Calibri" w:eastAsia="宋体" w:hAnsi="Calibri" w:cs="Calibri"/>
      <w:b/>
      <w:bCs/>
    </w:rPr>
  </w:style>
  <w:style w:type="character" w:styleId="ad">
    <w:name w:val="page number"/>
    <w:qFormat/>
    <w:rPr>
      <w:rFonts w:ascii="Calibri" w:eastAsia="宋体" w:hAnsi="Calibri" w:cs="Calibri"/>
    </w:rPr>
  </w:style>
  <w:style w:type="character" w:styleId="ae">
    <w:name w:val="FollowedHyperlink"/>
    <w:qFormat/>
    <w:rPr>
      <w:rFonts w:ascii="Calibri" w:eastAsia="宋体" w:hAnsi="Calibri" w:cs="Calibri"/>
      <w:color w:val="954F72"/>
      <w:u w:val="single"/>
    </w:rPr>
  </w:style>
  <w:style w:type="character" w:styleId="af">
    <w:name w:val="Hyperlink"/>
    <w:qFormat/>
    <w:rPr>
      <w:rFonts w:ascii="Calibri" w:eastAsia="宋体" w:hAnsi="Calibri" w:cs="Calibri"/>
      <w:color w:val="0000FF"/>
      <w:u w:val="single"/>
    </w:rPr>
  </w:style>
  <w:style w:type="character" w:styleId="af0">
    <w:name w:val="annotation reference"/>
    <w:qFormat/>
    <w:rPr>
      <w:rFonts w:ascii="Calibri" w:eastAsia="宋体" w:hAnsi="Calibri" w:cs="Calibri"/>
      <w:sz w:val="21"/>
      <w:szCs w:val="21"/>
    </w:rPr>
  </w:style>
  <w:style w:type="character" w:customStyle="1" w:styleId="2Char">
    <w:name w:val="标题 2 Char"/>
    <w:link w:val="2"/>
    <w:qFormat/>
    <w:rPr>
      <w:rFonts w:ascii="Arial" w:eastAsia="黑体" w:hAnsi="Arial" w:cs="Times New Roman"/>
      <w:b/>
      <w:sz w:val="32"/>
      <w:szCs w:val="20"/>
    </w:rPr>
  </w:style>
  <w:style w:type="character" w:customStyle="1" w:styleId="Char">
    <w:name w:val="批注文字 Char"/>
    <w:link w:val="a4"/>
    <w:qFormat/>
    <w:rPr>
      <w:rFonts w:ascii="Times New Roman" w:eastAsia="宋体" w:hAnsi="Times New Roman" w:cs="Times New Roman"/>
      <w:szCs w:val="24"/>
    </w:rPr>
  </w:style>
  <w:style w:type="character" w:customStyle="1" w:styleId="Char0">
    <w:name w:val="正文文本 Char"/>
    <w:link w:val="a5"/>
    <w:qFormat/>
    <w:rPr>
      <w:rFonts w:ascii="仿宋_GB2312" w:eastAsia="仿宋_GB2312" w:hAnsi="Times New Roman" w:cs="Times New Roman"/>
      <w:color w:val="000000"/>
      <w:kern w:val="0"/>
      <w:sz w:val="24"/>
      <w:szCs w:val="28"/>
    </w:rPr>
  </w:style>
  <w:style w:type="character" w:customStyle="1" w:styleId="Char1">
    <w:name w:val="正文文本缩进 Char"/>
    <w:link w:val="a6"/>
    <w:qFormat/>
    <w:rPr>
      <w:rFonts w:ascii="Times New Roman" w:eastAsia="方正仿宋简体" w:hAnsi="Times New Roman" w:cs="Times New Roman"/>
      <w:sz w:val="24"/>
      <w:szCs w:val="30"/>
    </w:rPr>
  </w:style>
  <w:style w:type="character" w:customStyle="1" w:styleId="2Char0">
    <w:name w:val="正文文本缩进 2 Char"/>
    <w:link w:val="20"/>
    <w:qFormat/>
    <w:rPr>
      <w:rFonts w:ascii="宋体" w:eastAsia="宋体" w:hAnsi="宋体" w:cs="Times New Roman"/>
      <w:sz w:val="28"/>
      <w:szCs w:val="20"/>
    </w:rPr>
  </w:style>
  <w:style w:type="character" w:customStyle="1" w:styleId="Char2">
    <w:name w:val="批注框文本 Char"/>
    <w:link w:val="a7"/>
    <w:qFormat/>
    <w:rPr>
      <w:rFonts w:ascii="Times New Roman" w:eastAsia="宋体" w:hAnsi="Times New Roman" w:cs="Times New Roman"/>
      <w:sz w:val="18"/>
      <w:szCs w:val="18"/>
    </w:rPr>
  </w:style>
  <w:style w:type="character" w:customStyle="1" w:styleId="Char3">
    <w:name w:val="页脚 Char"/>
    <w:link w:val="a8"/>
    <w:qFormat/>
    <w:rPr>
      <w:rFonts w:ascii="Times New Roman" w:eastAsia="宋体" w:hAnsi="Times New Roman" w:cs="Times New Roman"/>
      <w:sz w:val="18"/>
      <w:szCs w:val="18"/>
    </w:rPr>
  </w:style>
  <w:style w:type="character" w:customStyle="1" w:styleId="Char4">
    <w:name w:val="页眉 Char"/>
    <w:link w:val="a9"/>
    <w:qFormat/>
    <w:rPr>
      <w:rFonts w:ascii="Times New Roman" w:eastAsia="宋体" w:hAnsi="Times New Roman" w:cs="Times New Roman"/>
      <w:sz w:val="18"/>
      <w:szCs w:val="18"/>
    </w:rPr>
  </w:style>
  <w:style w:type="character" w:customStyle="1" w:styleId="3Char">
    <w:name w:val="正文文本缩进 3 Char"/>
    <w:link w:val="30"/>
    <w:qFormat/>
    <w:rPr>
      <w:rFonts w:ascii="仿宋_GB2312" w:eastAsia="仿宋_GB2312" w:hAnsi="宋体" w:cs="Arial"/>
      <w:color w:val="000000"/>
      <w:sz w:val="24"/>
      <w:szCs w:val="24"/>
    </w:rPr>
  </w:style>
  <w:style w:type="character" w:customStyle="1" w:styleId="HTMLChar">
    <w:name w:val="HTML 预设格式 Char"/>
    <w:link w:val="HTML"/>
    <w:qFormat/>
    <w:rPr>
      <w:rFonts w:ascii="宋体" w:eastAsia="宋体" w:hAnsi="宋体" w:cs="宋体"/>
      <w:kern w:val="0"/>
      <w:sz w:val="24"/>
      <w:szCs w:val="24"/>
    </w:rPr>
  </w:style>
  <w:style w:type="character" w:customStyle="1" w:styleId="Char5">
    <w:name w:val="批注主题 Char"/>
    <w:link w:val="ab"/>
    <w:qFormat/>
    <w:rPr>
      <w:rFonts w:ascii="Times New Roman" w:eastAsia="宋体" w:hAnsi="Times New Roman" w:cs="Times New Roman"/>
      <w:b/>
      <w:bCs/>
      <w:szCs w:val="24"/>
    </w:rPr>
  </w:style>
  <w:style w:type="character" w:customStyle="1" w:styleId="read">
    <w:name w:val="read"/>
    <w:qFormat/>
    <w:rPr>
      <w:rFonts w:ascii="Calibri" w:eastAsia="宋体" w:hAnsi="Calibri" w:cs="Calibri"/>
    </w:rPr>
  </w:style>
  <w:style w:type="paragraph" w:customStyle="1" w:styleId="Char10">
    <w:name w:val="Char1"/>
    <w:basedOn w:val="a"/>
    <w:qFormat/>
    <w:pPr>
      <w:tabs>
        <w:tab w:val="left" w:pos="832"/>
      </w:tabs>
      <w:ind w:left="832" w:hanging="420"/>
      <w:jc w:val="center"/>
    </w:pPr>
    <w:rPr>
      <w:rFonts w:ascii="楷体_GB2312" w:eastAsia="楷体_GB2312" w:hAnsi="Times New Roman"/>
      <w:b/>
      <w:color w:val="000080"/>
      <w:sz w:val="30"/>
      <w:szCs w:val="30"/>
    </w:rPr>
  </w:style>
  <w:style w:type="paragraph" w:customStyle="1" w:styleId="10">
    <w:name w:val="修订1"/>
    <w:qFormat/>
    <w:rPr>
      <w:rFonts w:ascii="Calibri" w:hAnsi="Calibri"/>
      <w:kern w:val="2"/>
      <w:sz w:val="21"/>
      <w:szCs w:val="22"/>
    </w:rPr>
  </w:style>
  <w:style w:type="paragraph" w:customStyle="1" w:styleId="CharCharChar">
    <w:name w:val="Char Char Char"/>
    <w:basedOn w:val="a"/>
    <w:qFormat/>
    <w:rPr>
      <w:rFonts w:ascii="Times New Roman" w:hAnsi="Times New Roman"/>
      <w:szCs w:val="24"/>
    </w:rPr>
  </w:style>
  <w:style w:type="paragraph" w:customStyle="1" w:styleId="11">
    <w:name w:val="修订11"/>
    <w:qFormat/>
    <w:rPr>
      <w:kern w:val="2"/>
      <w:sz w:val="21"/>
      <w:szCs w:val="24"/>
    </w:rPr>
  </w:style>
  <w:style w:type="paragraph" w:customStyle="1" w:styleId="Char6">
    <w:name w:val="Char"/>
    <w:basedOn w:val="a"/>
    <w:qFormat/>
    <w:rPr>
      <w:rFonts w:ascii="Times New Roman" w:hAnsi="Times New Roman"/>
      <w:szCs w:val="24"/>
    </w:rPr>
  </w:style>
  <w:style w:type="paragraph" w:customStyle="1" w:styleId="Style47">
    <w:name w:val="_Style 47"/>
    <w:qFormat/>
    <w:pPr>
      <w:widowControl w:val="0"/>
      <w:jc w:val="both"/>
    </w:pPr>
    <w:rPr>
      <w:rFonts w:ascii="Calibri" w:hAnsi="Calibri"/>
      <w:kern w:val="2"/>
      <w:sz w:val="21"/>
      <w:szCs w:val="22"/>
    </w:rPr>
  </w:style>
  <w:style w:type="paragraph" w:customStyle="1" w:styleId="CharCharCharCharCharCharChar1CharCharCharCharCharChar">
    <w:name w:val="Char Char Char Char Char Char Char1 Char Char Char Char Char Char"/>
    <w:basedOn w:val="a"/>
    <w:qFormat/>
    <w:rPr>
      <w:rFonts w:ascii="Times New Roman" w:hAnsi="Times New Roman"/>
      <w:szCs w:val="24"/>
    </w:rPr>
  </w:style>
  <w:style w:type="paragraph" w:customStyle="1" w:styleId="22">
    <w:name w:val="修订2"/>
    <w:qFormat/>
    <w:rPr>
      <w:rFonts w:ascii="Calibri" w:hAnsi="Calibri"/>
      <w:kern w:val="2"/>
      <w:sz w:val="21"/>
      <w:szCs w:val="22"/>
    </w:rPr>
  </w:style>
  <w:style w:type="paragraph" w:customStyle="1" w:styleId="CharChar">
    <w:name w:val="Char Char"/>
    <w:basedOn w:val="a"/>
    <w:qFormat/>
    <w:rPr>
      <w:rFonts w:ascii="Times New Roman" w:hAnsi="Times New Roman"/>
      <w:szCs w:val="20"/>
    </w:rPr>
  </w:style>
  <w:style w:type="paragraph" w:customStyle="1" w:styleId="wz1">
    <w:name w:val="wz1"/>
    <w:basedOn w:val="a"/>
    <w:qFormat/>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rPr>
  </w:style>
  <w:style w:type="character" w:customStyle="1" w:styleId="im-content1">
    <w:name w:val="im-content1"/>
    <w:qFormat/>
    <w:rPr>
      <w:rFonts w:ascii="Calibri" w:eastAsia="宋体" w:hAnsi="Calibri" w:cs="Calibri"/>
      <w:color w:val="333333"/>
    </w:rPr>
  </w:style>
  <w:style w:type="paragraph" w:customStyle="1" w:styleId="12">
    <w:name w:val="正文1"/>
    <w:qFormat/>
    <w:pPr>
      <w:jc w:val="both"/>
    </w:pPr>
    <w:rPr>
      <w:rFonts w:ascii="等线" w:hAnsi="等线" w:cs="宋体"/>
      <w:kern w:val="2"/>
      <w:sz w:val="21"/>
      <w:szCs w:val="21"/>
    </w:rPr>
  </w:style>
  <w:style w:type="paragraph" w:customStyle="1" w:styleId="31">
    <w:name w:val="修订3"/>
    <w:hidden/>
    <w:uiPriority w:val="99"/>
    <w:semiHidden/>
    <w:qFormat/>
    <w:rPr>
      <w:rFonts w:ascii="Calibri" w:hAnsi="Calibri"/>
      <w:kern w:val="2"/>
      <w:sz w:val="21"/>
      <w:szCs w:val="22"/>
    </w:rPr>
  </w:style>
  <w:style w:type="paragraph" w:customStyle="1" w:styleId="40">
    <w:name w:val="修订4"/>
    <w:hidden/>
    <w:uiPriority w:val="99"/>
    <w:semiHidden/>
    <w:qFormat/>
    <w:rPr>
      <w:rFonts w:ascii="Calibri" w:hAnsi="Calibri"/>
      <w:kern w:val="2"/>
      <w:sz w:val="21"/>
      <w:szCs w:val="22"/>
    </w:rPr>
  </w:style>
  <w:style w:type="table" w:customStyle="1" w:styleId="50">
    <w:name w:val="网格型5"/>
    <w:basedOn w:val="a2"/>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网格型13"/>
    <w:basedOn w:val="a2"/>
    <w:uiPriority w:val="59"/>
    <w:qFormat/>
    <w:pPr>
      <w:widowControl w:val="0"/>
      <w:jc w:val="both"/>
    </w:pPr>
    <w:rPr>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1">
    <w:name w:val="批注文字 Char1"/>
    <w:qFormat/>
    <w:rPr>
      <w:kern w:val="2"/>
      <w:sz w:val="21"/>
    </w:rPr>
  </w:style>
  <w:style w:type="paragraph" w:customStyle="1" w:styleId="51">
    <w:name w:val="修订5"/>
    <w:hidden/>
    <w:uiPriority w:val="99"/>
    <w:semiHidden/>
    <w:qFormat/>
    <w:rPr>
      <w:rFonts w:ascii="Calibri" w:hAnsi="Calibri"/>
      <w:kern w:val="2"/>
      <w:sz w:val="21"/>
      <w:szCs w:val="22"/>
    </w:rPr>
  </w:style>
  <w:style w:type="paragraph" w:styleId="af1">
    <w:name w:val="Revision"/>
    <w:hidden/>
    <w:uiPriority w:val="99"/>
    <w:semiHidden/>
    <w:rsid w:val="00247AFC"/>
    <w:rPr>
      <w:rFonts w:ascii="Calibri" w:hAnsi="Calibri"/>
      <w:kern w:val="2"/>
      <w:sz w:val="21"/>
      <w:szCs w:val="22"/>
    </w:rPr>
  </w:style>
  <w:style w:type="paragraph" w:styleId="af2">
    <w:name w:val="List Paragraph"/>
    <w:basedOn w:val="a"/>
    <w:uiPriority w:val="99"/>
    <w:rsid w:val="00FC4F5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14B6CD-DFA7-4E1E-949E-A737ADF43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57</Pages>
  <Words>6852</Words>
  <Characters>39063</Characters>
  <Application>Microsoft Office Word</Application>
  <DocSecurity>0</DocSecurity>
  <Lines>325</Lines>
  <Paragraphs>91</Paragraphs>
  <ScaleCrop>false</ScaleCrop>
  <Company>神州网信技术有限公司</Company>
  <LinksUpToDate>false</LinksUpToDate>
  <CharactersWithSpaces>45824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高珊</dc:creator>
  <cp:lastModifiedBy>金玥</cp:lastModifiedBy>
  <cp:revision>19</cp:revision>
  <cp:lastPrinted>2025-10-14T02:54:00Z</cp:lastPrinted>
  <dcterms:created xsi:type="dcterms:W3CDTF">2025-09-25T09:43:00Z</dcterms:created>
  <dcterms:modified xsi:type="dcterms:W3CDTF">2026-03-30T01:18:00Z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A5D12D675BD84826B2ACB4A867399769_13</vt:lpwstr>
  </property>
  <property fmtid="{D5CDD505-2E9C-101B-9397-08002B2CF9AE}" pid="4" name="KSOTemplateDocerSaveRecord">
    <vt:lpwstr>eyJoZGlkIjoiYmEyYzE4ZmY0MTA0YTRiNWJiMmU1NDE3Y2M1YjExNTYiLCJ1c2VySWQiOiI0NjAzODM0OTYifQ==</vt:lpwstr>
  </property>
</Properties>
</file>