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40B0B1" w14:textId="77777777" w:rsidR="004E1659" w:rsidRDefault="004E1659">
      <w:pPr>
        <w:adjustRightInd w:val="0"/>
        <w:snapToGrid w:val="0"/>
        <w:spacing w:line="360" w:lineRule="auto"/>
        <w:jc w:val="center"/>
        <w:rPr>
          <w:rFonts w:ascii="宋体" w:hAnsi="宋体" w:cs="Arial"/>
          <w:sz w:val="24"/>
        </w:rPr>
      </w:pPr>
    </w:p>
    <w:p w14:paraId="3FC7207C" w14:textId="77777777" w:rsidR="004E1659" w:rsidRDefault="004E1659">
      <w:pPr>
        <w:adjustRightInd w:val="0"/>
        <w:snapToGrid w:val="0"/>
        <w:spacing w:line="360" w:lineRule="auto"/>
        <w:jc w:val="center"/>
        <w:rPr>
          <w:rFonts w:ascii="宋体" w:hAnsi="宋体" w:cs="Arial"/>
          <w:sz w:val="24"/>
        </w:rPr>
      </w:pPr>
    </w:p>
    <w:p w14:paraId="55361900" w14:textId="77777777" w:rsidR="004E1659" w:rsidRDefault="004E1659">
      <w:pPr>
        <w:adjustRightInd w:val="0"/>
        <w:snapToGrid w:val="0"/>
        <w:spacing w:line="360" w:lineRule="auto"/>
        <w:jc w:val="center"/>
        <w:rPr>
          <w:rFonts w:ascii="宋体" w:hAnsi="宋体" w:cs="Arial"/>
          <w:sz w:val="24"/>
        </w:rPr>
      </w:pPr>
    </w:p>
    <w:p w14:paraId="1769FAAE" w14:textId="7E6F5BE4" w:rsidR="004E1659" w:rsidRDefault="00F42610">
      <w:pPr>
        <w:adjustRightInd w:val="0"/>
        <w:snapToGrid w:val="0"/>
        <w:spacing w:line="360" w:lineRule="auto"/>
        <w:jc w:val="center"/>
        <w:rPr>
          <w:rFonts w:ascii="宋体" w:hAnsi="宋体" w:cs="Arial"/>
          <w:b/>
          <w:sz w:val="44"/>
        </w:rPr>
      </w:pPr>
      <w:r>
        <w:rPr>
          <w:rFonts w:ascii="宋体" w:hAnsi="宋体" w:cs="Arial" w:hint="eastAsia"/>
          <w:b/>
          <w:sz w:val="44"/>
        </w:rPr>
        <w:t>银华智享混合型证券投资基金</w:t>
      </w:r>
    </w:p>
    <w:p w14:paraId="57C2AB58" w14:textId="11253FE1" w:rsidR="004E1659" w:rsidRDefault="00F42610">
      <w:pPr>
        <w:adjustRightInd w:val="0"/>
        <w:snapToGrid w:val="0"/>
        <w:spacing w:line="360" w:lineRule="auto"/>
        <w:jc w:val="center"/>
        <w:rPr>
          <w:rFonts w:ascii="宋体" w:hAnsi="宋体" w:cs="Arial"/>
          <w:b/>
          <w:sz w:val="44"/>
        </w:rPr>
      </w:pPr>
      <w:r>
        <w:rPr>
          <w:rFonts w:ascii="宋体" w:hAnsi="宋体" w:cs="Arial" w:hint="eastAsia"/>
          <w:b/>
          <w:sz w:val="44"/>
        </w:rPr>
        <w:t>托管协议</w:t>
      </w:r>
    </w:p>
    <w:p w14:paraId="62342968" w14:textId="77777777" w:rsidR="004E1659" w:rsidRDefault="004E1659"/>
    <w:p w14:paraId="06255DD7" w14:textId="77777777" w:rsidR="004E1659" w:rsidRDefault="004E1659"/>
    <w:p w14:paraId="628DB986" w14:textId="77777777" w:rsidR="004E1659" w:rsidRDefault="004E1659"/>
    <w:p w14:paraId="72134143" w14:textId="77777777" w:rsidR="004E1659" w:rsidRDefault="004E1659"/>
    <w:p w14:paraId="67BBA3A5" w14:textId="77777777" w:rsidR="004E1659" w:rsidRDefault="004E1659"/>
    <w:p w14:paraId="2481D7F8" w14:textId="77777777" w:rsidR="004E1659" w:rsidRDefault="004E1659"/>
    <w:p w14:paraId="24471592" w14:textId="77777777" w:rsidR="004E1659" w:rsidRDefault="004E1659"/>
    <w:p w14:paraId="561338A9" w14:textId="77777777" w:rsidR="004E1659" w:rsidRDefault="004E1659"/>
    <w:p w14:paraId="3A719532" w14:textId="77777777" w:rsidR="004E1659" w:rsidRDefault="004E1659"/>
    <w:p w14:paraId="327564EC" w14:textId="77777777" w:rsidR="004E1659" w:rsidRDefault="004E1659"/>
    <w:p w14:paraId="5CAD8FB1" w14:textId="77777777" w:rsidR="004E1659" w:rsidRDefault="004E1659"/>
    <w:p w14:paraId="096E70F7" w14:textId="77777777" w:rsidR="004E1659" w:rsidRDefault="004E1659"/>
    <w:p w14:paraId="6CF06A47" w14:textId="77777777" w:rsidR="004E1659" w:rsidRDefault="004E1659"/>
    <w:p w14:paraId="5E2A089F" w14:textId="77777777" w:rsidR="004E1659" w:rsidRDefault="004E1659"/>
    <w:p w14:paraId="0D99AC15" w14:textId="77777777" w:rsidR="004E1659" w:rsidRDefault="004E1659"/>
    <w:p w14:paraId="5B6B5FD1" w14:textId="77777777" w:rsidR="004E1659" w:rsidRDefault="004E1659"/>
    <w:p w14:paraId="4147CBFD" w14:textId="77777777" w:rsidR="004E1659" w:rsidRDefault="004E1659"/>
    <w:p w14:paraId="7A69746F" w14:textId="77777777" w:rsidR="004E1659" w:rsidRDefault="004E1659"/>
    <w:p w14:paraId="3AA4CA20" w14:textId="77777777" w:rsidR="004E1659" w:rsidRDefault="00F42610">
      <w:pPr>
        <w:jc w:val="center"/>
        <w:rPr>
          <w:b/>
          <w:bCs/>
          <w:sz w:val="28"/>
        </w:rPr>
      </w:pPr>
      <w:r>
        <w:rPr>
          <w:rFonts w:hint="eastAsia"/>
          <w:b/>
          <w:bCs/>
          <w:sz w:val="28"/>
        </w:rPr>
        <w:t>基金管理人：银华基金管理股份有限公司</w:t>
      </w:r>
    </w:p>
    <w:p w14:paraId="5EEAF495" w14:textId="77777777" w:rsidR="004E1659" w:rsidRDefault="00F42610">
      <w:pPr>
        <w:jc w:val="center"/>
        <w:rPr>
          <w:b/>
          <w:bCs/>
          <w:sz w:val="28"/>
        </w:rPr>
      </w:pPr>
      <w:r>
        <w:rPr>
          <w:rFonts w:hint="eastAsia"/>
          <w:b/>
          <w:bCs/>
          <w:sz w:val="28"/>
        </w:rPr>
        <w:t>基金托管人：中国建设银行股份有限公司</w:t>
      </w:r>
    </w:p>
    <w:p w14:paraId="76B5D27D" w14:textId="77777777" w:rsidR="004E1659" w:rsidRDefault="004E1659">
      <w:pPr>
        <w:adjustRightInd w:val="0"/>
        <w:snapToGrid w:val="0"/>
        <w:spacing w:line="360" w:lineRule="auto"/>
        <w:jc w:val="center"/>
        <w:rPr>
          <w:rFonts w:ascii="宋体" w:hAnsi="宋体" w:cs="Arial"/>
          <w:bCs/>
          <w:sz w:val="24"/>
        </w:rPr>
      </w:pPr>
    </w:p>
    <w:p w14:paraId="385907DC" w14:textId="77777777" w:rsidR="004E1659" w:rsidRDefault="004E1659">
      <w:pPr>
        <w:adjustRightInd w:val="0"/>
        <w:snapToGrid w:val="0"/>
        <w:spacing w:line="360" w:lineRule="auto"/>
        <w:jc w:val="center"/>
        <w:rPr>
          <w:rFonts w:ascii="宋体" w:hAnsi="宋体" w:cs="Arial"/>
          <w:bCs/>
          <w:sz w:val="24"/>
        </w:rPr>
      </w:pPr>
    </w:p>
    <w:p w14:paraId="630DE6E2" w14:textId="77777777" w:rsidR="004E1659" w:rsidRDefault="004E1659">
      <w:pPr>
        <w:adjustRightInd w:val="0"/>
        <w:snapToGrid w:val="0"/>
        <w:spacing w:line="360" w:lineRule="auto"/>
        <w:jc w:val="center"/>
        <w:rPr>
          <w:rFonts w:ascii="宋体" w:hAnsi="宋体" w:cs="Arial"/>
          <w:bCs/>
          <w:sz w:val="24"/>
        </w:rPr>
        <w:sectPr w:rsidR="004E1659">
          <w:footerReference w:type="even" r:id="rId7"/>
          <w:footerReference w:type="default" r:id="rId8"/>
          <w:pgSz w:w="11906" w:h="16838"/>
          <w:pgMar w:top="1418" w:right="1701" w:bottom="1418" w:left="1701" w:header="851" w:footer="992" w:gutter="0"/>
          <w:cols w:space="720"/>
          <w:docGrid w:type="lines" w:linePitch="312"/>
        </w:sectPr>
      </w:pPr>
    </w:p>
    <w:p w14:paraId="275F5561" w14:textId="77777777" w:rsidR="004E1659" w:rsidRDefault="00F42610">
      <w:pPr>
        <w:spacing w:line="360" w:lineRule="auto"/>
        <w:jc w:val="center"/>
        <w:rPr>
          <w:rFonts w:ascii="宋体" w:hAnsi="宋体"/>
          <w:b/>
          <w:bCs/>
          <w:sz w:val="30"/>
        </w:rPr>
      </w:pPr>
      <w:r>
        <w:rPr>
          <w:rFonts w:ascii="宋体" w:hAnsi="宋体" w:hint="eastAsia"/>
          <w:b/>
          <w:bCs/>
          <w:sz w:val="30"/>
        </w:rPr>
        <w:lastRenderedPageBreak/>
        <w:t>目    录</w:t>
      </w:r>
    </w:p>
    <w:p w14:paraId="0F5B2596" w14:textId="77777777" w:rsidR="004E1659" w:rsidRDefault="004E1659">
      <w:pPr>
        <w:pStyle w:val="21"/>
        <w:spacing w:line="360" w:lineRule="auto"/>
        <w:ind w:leftChars="0" w:left="0"/>
      </w:pPr>
    </w:p>
    <w:p w14:paraId="36BD9993" w14:textId="77777777" w:rsidR="004E1659" w:rsidRDefault="00F42610">
      <w:pPr>
        <w:pStyle w:val="21"/>
        <w:spacing w:line="360" w:lineRule="auto"/>
        <w:ind w:leftChars="0" w:left="0"/>
        <w:rPr>
          <w:sz w:val="24"/>
        </w:rPr>
      </w:pPr>
      <w:r>
        <w:rPr>
          <w:rFonts w:hint="eastAsia"/>
        </w:rPr>
        <w:fldChar w:fldCharType="begin"/>
      </w:r>
      <w:r>
        <w:instrText xml:space="preserve"> TOC \o "1-2" \h \z </w:instrText>
      </w:r>
      <w:r>
        <w:rPr>
          <w:rFonts w:hint="eastAsia"/>
        </w:rPr>
        <w:fldChar w:fldCharType="separate"/>
      </w:r>
      <w:hyperlink w:anchor="_Toc516758895" w:history="1">
        <w:r>
          <w:rPr>
            <w:rFonts w:ascii="宋体" w:hAnsi="宋体" w:hint="eastAsia"/>
            <w:sz w:val="24"/>
          </w:rPr>
          <w:t>一、基金托管协议当事人</w:t>
        </w:r>
        <w:r>
          <w:rPr>
            <w:sz w:val="24"/>
          </w:rPr>
          <w:tab/>
        </w:r>
        <w:r>
          <w:rPr>
            <w:sz w:val="24"/>
          </w:rPr>
          <w:fldChar w:fldCharType="begin"/>
        </w:r>
        <w:r>
          <w:rPr>
            <w:sz w:val="24"/>
          </w:rPr>
          <w:instrText xml:space="preserve"> PAGEREF _Toc516758895 \h </w:instrText>
        </w:r>
        <w:r>
          <w:rPr>
            <w:sz w:val="24"/>
          </w:rPr>
        </w:r>
        <w:r>
          <w:rPr>
            <w:sz w:val="24"/>
          </w:rPr>
          <w:fldChar w:fldCharType="separate"/>
        </w:r>
        <w:r>
          <w:rPr>
            <w:sz w:val="24"/>
          </w:rPr>
          <w:t>2</w:t>
        </w:r>
        <w:r>
          <w:rPr>
            <w:sz w:val="24"/>
          </w:rPr>
          <w:fldChar w:fldCharType="end"/>
        </w:r>
      </w:hyperlink>
    </w:p>
    <w:p w14:paraId="22B96B14" w14:textId="77777777" w:rsidR="004E1659" w:rsidRDefault="00395293">
      <w:pPr>
        <w:pStyle w:val="21"/>
        <w:spacing w:line="360" w:lineRule="auto"/>
        <w:ind w:leftChars="0" w:left="0"/>
        <w:rPr>
          <w:sz w:val="24"/>
        </w:rPr>
      </w:pPr>
      <w:hyperlink w:anchor="_Toc516758896" w:history="1">
        <w:r w:rsidR="00F42610">
          <w:rPr>
            <w:rFonts w:ascii="宋体" w:hAnsi="宋体" w:hint="eastAsia"/>
            <w:sz w:val="24"/>
          </w:rPr>
          <w:t>二、基金托管协议的依据、目的和原则</w:t>
        </w:r>
        <w:r w:rsidR="00F42610">
          <w:rPr>
            <w:sz w:val="24"/>
          </w:rPr>
          <w:tab/>
        </w:r>
        <w:r w:rsidR="00F42610">
          <w:rPr>
            <w:sz w:val="24"/>
          </w:rPr>
          <w:fldChar w:fldCharType="begin"/>
        </w:r>
        <w:r w:rsidR="00F42610">
          <w:rPr>
            <w:sz w:val="24"/>
          </w:rPr>
          <w:instrText xml:space="preserve"> PAGEREF _Toc516758896 \h </w:instrText>
        </w:r>
        <w:r w:rsidR="00F42610">
          <w:rPr>
            <w:sz w:val="24"/>
          </w:rPr>
        </w:r>
        <w:r w:rsidR="00F42610">
          <w:rPr>
            <w:sz w:val="24"/>
          </w:rPr>
          <w:fldChar w:fldCharType="separate"/>
        </w:r>
        <w:r w:rsidR="00F42610">
          <w:rPr>
            <w:sz w:val="24"/>
          </w:rPr>
          <w:t>3</w:t>
        </w:r>
        <w:r w:rsidR="00F42610">
          <w:rPr>
            <w:sz w:val="24"/>
          </w:rPr>
          <w:fldChar w:fldCharType="end"/>
        </w:r>
      </w:hyperlink>
    </w:p>
    <w:p w14:paraId="3E4DAD77" w14:textId="77777777" w:rsidR="004E1659" w:rsidRDefault="00395293">
      <w:pPr>
        <w:pStyle w:val="21"/>
        <w:spacing w:line="360" w:lineRule="auto"/>
        <w:ind w:leftChars="0" w:left="0"/>
        <w:rPr>
          <w:sz w:val="24"/>
        </w:rPr>
      </w:pPr>
      <w:hyperlink w:anchor="_Toc516758897" w:history="1">
        <w:r w:rsidR="00F42610">
          <w:rPr>
            <w:rFonts w:ascii="宋体" w:hAnsi="宋体" w:hint="eastAsia"/>
            <w:sz w:val="24"/>
          </w:rPr>
          <w:t>三、基金托管人对</w:t>
        </w:r>
        <w:bookmarkStart w:id="0" w:name="_Hlt86306810"/>
        <w:r w:rsidR="00F42610">
          <w:rPr>
            <w:rFonts w:ascii="宋体" w:hAnsi="宋体" w:hint="eastAsia"/>
            <w:sz w:val="24"/>
          </w:rPr>
          <w:t>基</w:t>
        </w:r>
        <w:bookmarkEnd w:id="0"/>
        <w:r w:rsidR="00F42610">
          <w:rPr>
            <w:rFonts w:ascii="宋体" w:hAnsi="宋体" w:hint="eastAsia"/>
            <w:sz w:val="24"/>
          </w:rPr>
          <w:t>金管理人的业务监督和核查</w:t>
        </w:r>
        <w:r w:rsidR="00F42610">
          <w:rPr>
            <w:sz w:val="24"/>
          </w:rPr>
          <w:tab/>
        </w:r>
        <w:r w:rsidR="00F42610">
          <w:rPr>
            <w:sz w:val="24"/>
          </w:rPr>
          <w:fldChar w:fldCharType="begin"/>
        </w:r>
        <w:r w:rsidR="00F42610">
          <w:rPr>
            <w:sz w:val="24"/>
          </w:rPr>
          <w:instrText xml:space="preserve"> PAGEREF _Toc516758897 \h </w:instrText>
        </w:r>
        <w:r w:rsidR="00F42610">
          <w:rPr>
            <w:sz w:val="24"/>
          </w:rPr>
        </w:r>
        <w:r w:rsidR="00F42610">
          <w:rPr>
            <w:sz w:val="24"/>
          </w:rPr>
          <w:fldChar w:fldCharType="separate"/>
        </w:r>
        <w:r w:rsidR="00F42610">
          <w:rPr>
            <w:sz w:val="24"/>
          </w:rPr>
          <w:t>4</w:t>
        </w:r>
        <w:r w:rsidR="00F42610">
          <w:rPr>
            <w:sz w:val="24"/>
          </w:rPr>
          <w:fldChar w:fldCharType="end"/>
        </w:r>
      </w:hyperlink>
    </w:p>
    <w:p w14:paraId="450487D8" w14:textId="77777777" w:rsidR="004E1659" w:rsidRDefault="00395293">
      <w:pPr>
        <w:pStyle w:val="21"/>
        <w:spacing w:line="360" w:lineRule="auto"/>
        <w:ind w:leftChars="0" w:left="0"/>
        <w:rPr>
          <w:sz w:val="24"/>
        </w:rPr>
      </w:pPr>
      <w:hyperlink w:anchor="_Toc516758898" w:history="1">
        <w:r w:rsidR="00F42610">
          <w:rPr>
            <w:rFonts w:ascii="宋体" w:hAnsi="宋体" w:hint="eastAsia"/>
            <w:sz w:val="24"/>
          </w:rPr>
          <w:t>四、基金管理人对基金托管人的业务核查</w:t>
        </w:r>
        <w:r w:rsidR="00F42610">
          <w:rPr>
            <w:sz w:val="24"/>
          </w:rPr>
          <w:tab/>
        </w:r>
        <w:r w:rsidR="00F42610">
          <w:rPr>
            <w:sz w:val="24"/>
          </w:rPr>
          <w:fldChar w:fldCharType="begin"/>
        </w:r>
        <w:r w:rsidR="00F42610">
          <w:rPr>
            <w:sz w:val="24"/>
          </w:rPr>
          <w:instrText xml:space="preserve"> PAGEREF _Toc516758898 \h </w:instrText>
        </w:r>
        <w:r w:rsidR="00F42610">
          <w:rPr>
            <w:sz w:val="24"/>
          </w:rPr>
        </w:r>
        <w:r w:rsidR="00F42610">
          <w:rPr>
            <w:sz w:val="24"/>
          </w:rPr>
          <w:fldChar w:fldCharType="separate"/>
        </w:r>
        <w:r w:rsidR="00F42610">
          <w:rPr>
            <w:sz w:val="24"/>
          </w:rPr>
          <w:t>11</w:t>
        </w:r>
        <w:r w:rsidR="00F42610">
          <w:rPr>
            <w:sz w:val="24"/>
          </w:rPr>
          <w:fldChar w:fldCharType="end"/>
        </w:r>
      </w:hyperlink>
    </w:p>
    <w:p w14:paraId="59DC4C99" w14:textId="77777777" w:rsidR="004E1659" w:rsidRDefault="00395293">
      <w:pPr>
        <w:pStyle w:val="21"/>
        <w:spacing w:line="360" w:lineRule="auto"/>
        <w:ind w:leftChars="0" w:left="0"/>
        <w:rPr>
          <w:sz w:val="24"/>
        </w:rPr>
      </w:pPr>
      <w:hyperlink w:anchor="_Toc516758899" w:history="1">
        <w:r w:rsidR="00F42610">
          <w:rPr>
            <w:rFonts w:ascii="宋体" w:hAnsi="宋体" w:hint="eastAsia"/>
            <w:sz w:val="24"/>
          </w:rPr>
          <w:t>五、基金财产的保管</w:t>
        </w:r>
        <w:r w:rsidR="00F42610">
          <w:rPr>
            <w:sz w:val="24"/>
          </w:rPr>
          <w:tab/>
        </w:r>
        <w:r w:rsidR="00F42610">
          <w:rPr>
            <w:sz w:val="24"/>
          </w:rPr>
          <w:fldChar w:fldCharType="begin"/>
        </w:r>
        <w:r w:rsidR="00F42610">
          <w:rPr>
            <w:sz w:val="24"/>
          </w:rPr>
          <w:instrText xml:space="preserve"> PAGEREF _Toc516758899 \h </w:instrText>
        </w:r>
        <w:r w:rsidR="00F42610">
          <w:rPr>
            <w:sz w:val="24"/>
          </w:rPr>
        </w:r>
        <w:r w:rsidR="00F42610">
          <w:rPr>
            <w:sz w:val="24"/>
          </w:rPr>
          <w:fldChar w:fldCharType="separate"/>
        </w:r>
        <w:r w:rsidR="00F42610">
          <w:rPr>
            <w:sz w:val="24"/>
          </w:rPr>
          <w:t>11</w:t>
        </w:r>
        <w:r w:rsidR="00F42610">
          <w:rPr>
            <w:sz w:val="24"/>
          </w:rPr>
          <w:fldChar w:fldCharType="end"/>
        </w:r>
      </w:hyperlink>
    </w:p>
    <w:p w14:paraId="73736F55" w14:textId="77777777" w:rsidR="004E1659" w:rsidRDefault="00395293">
      <w:pPr>
        <w:pStyle w:val="21"/>
        <w:spacing w:line="360" w:lineRule="auto"/>
        <w:ind w:leftChars="0" w:left="0"/>
        <w:rPr>
          <w:sz w:val="24"/>
        </w:rPr>
      </w:pPr>
      <w:hyperlink w:anchor="_Toc516758900" w:history="1">
        <w:r w:rsidR="00F42610">
          <w:rPr>
            <w:rFonts w:ascii="宋体" w:hAnsi="宋体" w:hint="eastAsia"/>
            <w:sz w:val="24"/>
          </w:rPr>
          <w:t>六、指令的发送、确认及执行</w:t>
        </w:r>
        <w:r w:rsidR="00F42610">
          <w:rPr>
            <w:sz w:val="24"/>
          </w:rPr>
          <w:tab/>
        </w:r>
        <w:r w:rsidR="00F42610">
          <w:rPr>
            <w:sz w:val="24"/>
          </w:rPr>
          <w:fldChar w:fldCharType="begin"/>
        </w:r>
        <w:r w:rsidR="00F42610">
          <w:rPr>
            <w:sz w:val="24"/>
          </w:rPr>
          <w:instrText xml:space="preserve"> PAGEREF _Toc516758900 \h </w:instrText>
        </w:r>
        <w:r w:rsidR="00F42610">
          <w:rPr>
            <w:sz w:val="24"/>
          </w:rPr>
        </w:r>
        <w:r w:rsidR="00F42610">
          <w:rPr>
            <w:sz w:val="24"/>
          </w:rPr>
          <w:fldChar w:fldCharType="separate"/>
        </w:r>
        <w:r w:rsidR="00F42610">
          <w:rPr>
            <w:sz w:val="24"/>
          </w:rPr>
          <w:t>15</w:t>
        </w:r>
        <w:r w:rsidR="00F42610">
          <w:rPr>
            <w:sz w:val="24"/>
          </w:rPr>
          <w:fldChar w:fldCharType="end"/>
        </w:r>
      </w:hyperlink>
    </w:p>
    <w:p w14:paraId="2E830358" w14:textId="77777777" w:rsidR="004E1659" w:rsidRDefault="00395293">
      <w:pPr>
        <w:pStyle w:val="21"/>
        <w:spacing w:line="360" w:lineRule="auto"/>
        <w:ind w:leftChars="0" w:left="0"/>
        <w:rPr>
          <w:sz w:val="24"/>
        </w:rPr>
      </w:pPr>
      <w:hyperlink w:anchor="_Toc516758901" w:history="1">
        <w:r w:rsidR="00F42610">
          <w:rPr>
            <w:rFonts w:ascii="宋体" w:hAnsi="宋体" w:hint="eastAsia"/>
            <w:sz w:val="24"/>
          </w:rPr>
          <w:t>七、交易及清算交收安排</w:t>
        </w:r>
        <w:r w:rsidR="00F42610">
          <w:rPr>
            <w:sz w:val="24"/>
          </w:rPr>
          <w:tab/>
        </w:r>
        <w:r w:rsidR="00F42610">
          <w:rPr>
            <w:sz w:val="24"/>
          </w:rPr>
          <w:fldChar w:fldCharType="begin"/>
        </w:r>
        <w:r w:rsidR="00F42610">
          <w:rPr>
            <w:sz w:val="24"/>
          </w:rPr>
          <w:instrText xml:space="preserve"> PAGEREF _Toc516758901 \h </w:instrText>
        </w:r>
        <w:r w:rsidR="00F42610">
          <w:rPr>
            <w:sz w:val="24"/>
          </w:rPr>
        </w:r>
        <w:r w:rsidR="00F42610">
          <w:rPr>
            <w:sz w:val="24"/>
          </w:rPr>
          <w:fldChar w:fldCharType="separate"/>
        </w:r>
        <w:r w:rsidR="00F42610">
          <w:rPr>
            <w:sz w:val="24"/>
          </w:rPr>
          <w:t>17</w:t>
        </w:r>
        <w:r w:rsidR="00F42610">
          <w:rPr>
            <w:sz w:val="24"/>
          </w:rPr>
          <w:fldChar w:fldCharType="end"/>
        </w:r>
      </w:hyperlink>
    </w:p>
    <w:p w14:paraId="73241D5C" w14:textId="77777777" w:rsidR="004E1659" w:rsidRDefault="00395293">
      <w:pPr>
        <w:pStyle w:val="21"/>
        <w:spacing w:line="360" w:lineRule="auto"/>
        <w:ind w:leftChars="0" w:left="0"/>
        <w:rPr>
          <w:sz w:val="24"/>
        </w:rPr>
      </w:pPr>
      <w:hyperlink w:anchor="_Toc516758902" w:history="1">
        <w:r w:rsidR="00F42610">
          <w:rPr>
            <w:rFonts w:ascii="宋体" w:hAnsi="宋体" w:hint="eastAsia"/>
            <w:sz w:val="24"/>
          </w:rPr>
          <w:t>八、基金资产净值</w:t>
        </w:r>
        <w:bookmarkStart w:id="1" w:name="_Hlt91147840"/>
        <w:bookmarkStart w:id="2" w:name="_Hlt91147839"/>
        <w:r w:rsidR="00F42610">
          <w:rPr>
            <w:rFonts w:ascii="宋体" w:hAnsi="宋体" w:hint="eastAsia"/>
            <w:sz w:val="24"/>
          </w:rPr>
          <w:t>计</w:t>
        </w:r>
        <w:bookmarkEnd w:id="1"/>
        <w:bookmarkEnd w:id="2"/>
        <w:r w:rsidR="00F42610">
          <w:rPr>
            <w:rFonts w:ascii="宋体" w:hAnsi="宋体" w:hint="eastAsia"/>
            <w:sz w:val="24"/>
          </w:rPr>
          <w:t>算</w:t>
        </w:r>
        <w:bookmarkStart w:id="3" w:name="_Hlt86306598"/>
        <w:bookmarkStart w:id="4" w:name="_Hlt86306599"/>
        <w:r w:rsidR="00F42610">
          <w:rPr>
            <w:rFonts w:ascii="宋体" w:hAnsi="宋体" w:hint="eastAsia"/>
            <w:sz w:val="24"/>
          </w:rPr>
          <w:t>和</w:t>
        </w:r>
        <w:bookmarkEnd w:id="3"/>
        <w:bookmarkEnd w:id="4"/>
        <w:r w:rsidR="00F42610">
          <w:rPr>
            <w:rFonts w:ascii="宋体" w:hAnsi="宋体" w:hint="eastAsia"/>
            <w:sz w:val="24"/>
          </w:rPr>
          <w:t>会计核算</w:t>
        </w:r>
        <w:r w:rsidR="00F42610">
          <w:rPr>
            <w:sz w:val="24"/>
          </w:rPr>
          <w:tab/>
        </w:r>
        <w:r w:rsidR="00F42610">
          <w:rPr>
            <w:sz w:val="24"/>
          </w:rPr>
          <w:fldChar w:fldCharType="begin"/>
        </w:r>
        <w:r w:rsidR="00F42610">
          <w:rPr>
            <w:sz w:val="24"/>
          </w:rPr>
          <w:instrText xml:space="preserve"> PAGEREF _Toc516758902 \h </w:instrText>
        </w:r>
        <w:r w:rsidR="00F42610">
          <w:rPr>
            <w:sz w:val="24"/>
          </w:rPr>
        </w:r>
        <w:r w:rsidR="00F42610">
          <w:rPr>
            <w:sz w:val="24"/>
          </w:rPr>
          <w:fldChar w:fldCharType="separate"/>
        </w:r>
        <w:r w:rsidR="00F42610">
          <w:rPr>
            <w:sz w:val="24"/>
          </w:rPr>
          <w:t>23</w:t>
        </w:r>
        <w:r w:rsidR="00F42610">
          <w:rPr>
            <w:sz w:val="24"/>
          </w:rPr>
          <w:fldChar w:fldCharType="end"/>
        </w:r>
      </w:hyperlink>
    </w:p>
    <w:p w14:paraId="4B873CD2" w14:textId="77777777" w:rsidR="004E1659" w:rsidRDefault="00395293">
      <w:pPr>
        <w:pStyle w:val="21"/>
        <w:spacing w:line="360" w:lineRule="auto"/>
        <w:ind w:leftChars="0" w:left="0"/>
        <w:rPr>
          <w:sz w:val="24"/>
        </w:rPr>
      </w:pPr>
      <w:hyperlink w:anchor="_Toc516758903" w:history="1">
        <w:r w:rsidR="00F42610">
          <w:rPr>
            <w:rFonts w:ascii="宋体" w:hAnsi="宋体" w:hint="eastAsia"/>
            <w:sz w:val="24"/>
          </w:rPr>
          <w:t>九、基金收益分配</w:t>
        </w:r>
        <w:r w:rsidR="00F42610">
          <w:rPr>
            <w:sz w:val="24"/>
          </w:rPr>
          <w:tab/>
        </w:r>
        <w:r w:rsidR="00F42610">
          <w:rPr>
            <w:sz w:val="24"/>
          </w:rPr>
          <w:fldChar w:fldCharType="begin"/>
        </w:r>
        <w:r w:rsidR="00F42610">
          <w:rPr>
            <w:sz w:val="24"/>
          </w:rPr>
          <w:instrText xml:space="preserve"> PAGEREF _Toc516758903 \h </w:instrText>
        </w:r>
        <w:r w:rsidR="00F42610">
          <w:rPr>
            <w:sz w:val="24"/>
          </w:rPr>
        </w:r>
        <w:r w:rsidR="00F42610">
          <w:rPr>
            <w:sz w:val="24"/>
          </w:rPr>
          <w:fldChar w:fldCharType="separate"/>
        </w:r>
        <w:r w:rsidR="00F42610">
          <w:rPr>
            <w:sz w:val="24"/>
          </w:rPr>
          <w:t>29</w:t>
        </w:r>
        <w:r w:rsidR="00F42610">
          <w:rPr>
            <w:sz w:val="24"/>
          </w:rPr>
          <w:fldChar w:fldCharType="end"/>
        </w:r>
      </w:hyperlink>
    </w:p>
    <w:p w14:paraId="1E351B6F" w14:textId="77777777" w:rsidR="004E1659" w:rsidRDefault="00395293">
      <w:pPr>
        <w:pStyle w:val="21"/>
        <w:spacing w:line="360" w:lineRule="auto"/>
        <w:ind w:leftChars="0" w:left="0"/>
        <w:rPr>
          <w:sz w:val="24"/>
        </w:rPr>
      </w:pPr>
      <w:hyperlink w:anchor="_Toc516758904" w:history="1">
        <w:r w:rsidR="00F42610">
          <w:rPr>
            <w:rFonts w:ascii="宋体" w:hAnsi="宋体" w:hint="eastAsia"/>
            <w:sz w:val="24"/>
          </w:rPr>
          <w:t>十、基金信息披露</w:t>
        </w:r>
        <w:r w:rsidR="00F42610">
          <w:rPr>
            <w:sz w:val="24"/>
          </w:rPr>
          <w:tab/>
        </w:r>
        <w:r w:rsidR="00F42610">
          <w:rPr>
            <w:sz w:val="24"/>
          </w:rPr>
          <w:fldChar w:fldCharType="begin"/>
        </w:r>
        <w:r w:rsidR="00F42610">
          <w:rPr>
            <w:sz w:val="24"/>
          </w:rPr>
          <w:instrText xml:space="preserve"> PAGEREF _Toc516758904 \h </w:instrText>
        </w:r>
        <w:r w:rsidR="00F42610">
          <w:rPr>
            <w:sz w:val="24"/>
          </w:rPr>
        </w:r>
        <w:r w:rsidR="00F42610">
          <w:rPr>
            <w:sz w:val="24"/>
          </w:rPr>
          <w:fldChar w:fldCharType="separate"/>
        </w:r>
        <w:r w:rsidR="00F42610">
          <w:rPr>
            <w:sz w:val="24"/>
          </w:rPr>
          <w:t>30</w:t>
        </w:r>
        <w:r w:rsidR="00F42610">
          <w:rPr>
            <w:sz w:val="24"/>
          </w:rPr>
          <w:fldChar w:fldCharType="end"/>
        </w:r>
      </w:hyperlink>
    </w:p>
    <w:p w14:paraId="766A2E50" w14:textId="77777777" w:rsidR="004E1659" w:rsidRDefault="00395293">
      <w:pPr>
        <w:pStyle w:val="21"/>
        <w:spacing w:line="360" w:lineRule="auto"/>
        <w:ind w:leftChars="0" w:left="0"/>
        <w:rPr>
          <w:sz w:val="24"/>
        </w:rPr>
      </w:pPr>
      <w:hyperlink w:anchor="_Toc516758905" w:history="1">
        <w:r w:rsidR="00F42610">
          <w:rPr>
            <w:rFonts w:ascii="宋体" w:hAnsi="宋体" w:hint="eastAsia"/>
            <w:sz w:val="24"/>
          </w:rPr>
          <w:t>十一、基金费用</w:t>
        </w:r>
        <w:r w:rsidR="00F42610">
          <w:rPr>
            <w:sz w:val="24"/>
          </w:rPr>
          <w:tab/>
        </w:r>
        <w:r w:rsidR="00F42610">
          <w:rPr>
            <w:sz w:val="24"/>
          </w:rPr>
          <w:fldChar w:fldCharType="begin"/>
        </w:r>
        <w:r w:rsidR="00F42610">
          <w:rPr>
            <w:sz w:val="24"/>
          </w:rPr>
          <w:instrText xml:space="preserve"> PAGEREF _Toc516758905 \h </w:instrText>
        </w:r>
        <w:r w:rsidR="00F42610">
          <w:rPr>
            <w:sz w:val="24"/>
          </w:rPr>
        </w:r>
        <w:r w:rsidR="00F42610">
          <w:rPr>
            <w:sz w:val="24"/>
          </w:rPr>
          <w:fldChar w:fldCharType="separate"/>
        </w:r>
        <w:r w:rsidR="00F42610">
          <w:rPr>
            <w:sz w:val="24"/>
          </w:rPr>
          <w:t>32</w:t>
        </w:r>
        <w:r w:rsidR="00F42610">
          <w:rPr>
            <w:sz w:val="24"/>
          </w:rPr>
          <w:fldChar w:fldCharType="end"/>
        </w:r>
      </w:hyperlink>
    </w:p>
    <w:p w14:paraId="627FADB8" w14:textId="77777777" w:rsidR="004E1659" w:rsidRDefault="00395293">
      <w:pPr>
        <w:pStyle w:val="21"/>
        <w:spacing w:line="360" w:lineRule="auto"/>
        <w:ind w:leftChars="0" w:left="0"/>
        <w:rPr>
          <w:sz w:val="24"/>
        </w:rPr>
      </w:pPr>
      <w:hyperlink w:anchor="_Toc516758906" w:history="1">
        <w:r w:rsidR="00F42610">
          <w:rPr>
            <w:rFonts w:ascii="宋体" w:hAnsi="宋体" w:hint="eastAsia"/>
            <w:sz w:val="24"/>
          </w:rPr>
          <w:t>十二、基金份额持有人名</w:t>
        </w:r>
        <w:bookmarkStart w:id="5" w:name="_Hlt48222671"/>
        <w:bookmarkStart w:id="6" w:name="_Hlt48222670"/>
        <w:r w:rsidR="00F42610">
          <w:rPr>
            <w:rFonts w:ascii="宋体" w:hAnsi="宋体" w:hint="eastAsia"/>
            <w:sz w:val="24"/>
          </w:rPr>
          <w:t>册</w:t>
        </w:r>
        <w:bookmarkEnd w:id="5"/>
        <w:bookmarkEnd w:id="6"/>
        <w:r w:rsidR="00F42610">
          <w:rPr>
            <w:rFonts w:ascii="宋体" w:hAnsi="宋体" w:hint="eastAsia"/>
            <w:sz w:val="24"/>
          </w:rPr>
          <w:t>的保管</w:t>
        </w:r>
        <w:r w:rsidR="00F42610">
          <w:rPr>
            <w:sz w:val="24"/>
          </w:rPr>
          <w:tab/>
        </w:r>
        <w:r w:rsidR="00F42610">
          <w:rPr>
            <w:sz w:val="24"/>
          </w:rPr>
          <w:fldChar w:fldCharType="begin"/>
        </w:r>
        <w:r w:rsidR="00F42610">
          <w:rPr>
            <w:sz w:val="24"/>
          </w:rPr>
          <w:instrText xml:space="preserve"> PAGEREF _Toc516758906 \h </w:instrText>
        </w:r>
        <w:r w:rsidR="00F42610">
          <w:rPr>
            <w:sz w:val="24"/>
          </w:rPr>
        </w:r>
        <w:r w:rsidR="00F42610">
          <w:rPr>
            <w:sz w:val="24"/>
          </w:rPr>
          <w:fldChar w:fldCharType="separate"/>
        </w:r>
        <w:r w:rsidR="00F42610">
          <w:rPr>
            <w:sz w:val="24"/>
          </w:rPr>
          <w:t>37</w:t>
        </w:r>
        <w:r w:rsidR="00F42610">
          <w:rPr>
            <w:sz w:val="24"/>
          </w:rPr>
          <w:fldChar w:fldCharType="end"/>
        </w:r>
      </w:hyperlink>
    </w:p>
    <w:p w14:paraId="57385305" w14:textId="77777777" w:rsidR="004E1659" w:rsidRDefault="00395293">
      <w:pPr>
        <w:pStyle w:val="21"/>
        <w:spacing w:line="360" w:lineRule="auto"/>
        <w:ind w:leftChars="0" w:left="0"/>
        <w:rPr>
          <w:sz w:val="24"/>
        </w:rPr>
      </w:pPr>
      <w:hyperlink w:anchor="_Toc516758907" w:history="1">
        <w:r w:rsidR="00F42610">
          <w:rPr>
            <w:rFonts w:ascii="宋体" w:hAnsi="宋体" w:hint="eastAsia"/>
            <w:sz w:val="24"/>
          </w:rPr>
          <w:t>十三、基金有关文件档案的保存</w:t>
        </w:r>
        <w:r w:rsidR="00F42610">
          <w:rPr>
            <w:sz w:val="24"/>
          </w:rPr>
          <w:tab/>
        </w:r>
        <w:r w:rsidR="00F42610">
          <w:rPr>
            <w:sz w:val="24"/>
          </w:rPr>
          <w:fldChar w:fldCharType="begin"/>
        </w:r>
        <w:r w:rsidR="00F42610">
          <w:rPr>
            <w:sz w:val="24"/>
          </w:rPr>
          <w:instrText xml:space="preserve"> PAGEREF _Toc516758907 \h </w:instrText>
        </w:r>
        <w:r w:rsidR="00F42610">
          <w:rPr>
            <w:sz w:val="24"/>
          </w:rPr>
        </w:r>
        <w:r w:rsidR="00F42610">
          <w:rPr>
            <w:sz w:val="24"/>
          </w:rPr>
          <w:fldChar w:fldCharType="separate"/>
        </w:r>
        <w:r w:rsidR="00F42610">
          <w:rPr>
            <w:sz w:val="24"/>
          </w:rPr>
          <w:t>37</w:t>
        </w:r>
        <w:r w:rsidR="00F42610">
          <w:rPr>
            <w:sz w:val="24"/>
          </w:rPr>
          <w:fldChar w:fldCharType="end"/>
        </w:r>
      </w:hyperlink>
    </w:p>
    <w:p w14:paraId="26D5C53A" w14:textId="77777777" w:rsidR="004E1659" w:rsidRDefault="00395293">
      <w:pPr>
        <w:pStyle w:val="21"/>
        <w:spacing w:line="360" w:lineRule="auto"/>
        <w:ind w:leftChars="0" w:left="0"/>
        <w:rPr>
          <w:sz w:val="24"/>
        </w:rPr>
      </w:pPr>
      <w:hyperlink w:anchor="_Toc516758908" w:history="1">
        <w:r w:rsidR="00F42610">
          <w:rPr>
            <w:rFonts w:ascii="宋体" w:hAnsi="宋体" w:hint="eastAsia"/>
            <w:sz w:val="24"/>
          </w:rPr>
          <w:t>十四、基金管理人和基金托管人的更换</w:t>
        </w:r>
        <w:r w:rsidR="00F42610">
          <w:rPr>
            <w:sz w:val="24"/>
          </w:rPr>
          <w:tab/>
        </w:r>
        <w:r w:rsidR="00F42610">
          <w:rPr>
            <w:sz w:val="24"/>
          </w:rPr>
          <w:fldChar w:fldCharType="begin"/>
        </w:r>
        <w:r w:rsidR="00F42610">
          <w:rPr>
            <w:sz w:val="24"/>
          </w:rPr>
          <w:instrText xml:space="preserve"> PAGEREF _Toc516758908 \h </w:instrText>
        </w:r>
        <w:r w:rsidR="00F42610">
          <w:rPr>
            <w:sz w:val="24"/>
          </w:rPr>
        </w:r>
        <w:r w:rsidR="00F42610">
          <w:rPr>
            <w:sz w:val="24"/>
          </w:rPr>
          <w:fldChar w:fldCharType="separate"/>
        </w:r>
        <w:r w:rsidR="00F42610">
          <w:rPr>
            <w:sz w:val="24"/>
          </w:rPr>
          <w:t>38</w:t>
        </w:r>
        <w:r w:rsidR="00F42610">
          <w:rPr>
            <w:sz w:val="24"/>
          </w:rPr>
          <w:fldChar w:fldCharType="end"/>
        </w:r>
      </w:hyperlink>
    </w:p>
    <w:p w14:paraId="71FC16D0" w14:textId="77777777" w:rsidR="004E1659" w:rsidRDefault="00395293">
      <w:pPr>
        <w:pStyle w:val="21"/>
        <w:spacing w:line="360" w:lineRule="auto"/>
        <w:ind w:leftChars="0" w:left="0"/>
        <w:rPr>
          <w:sz w:val="24"/>
        </w:rPr>
      </w:pPr>
      <w:hyperlink w:anchor="_Toc516758909" w:history="1">
        <w:r w:rsidR="00F42610">
          <w:rPr>
            <w:rFonts w:ascii="宋体" w:hAnsi="宋体" w:hint="eastAsia"/>
            <w:sz w:val="24"/>
          </w:rPr>
          <w:t>十五、禁止行为</w:t>
        </w:r>
        <w:r w:rsidR="00F42610">
          <w:rPr>
            <w:sz w:val="24"/>
          </w:rPr>
          <w:tab/>
        </w:r>
        <w:r w:rsidR="00F42610">
          <w:rPr>
            <w:sz w:val="24"/>
          </w:rPr>
          <w:fldChar w:fldCharType="begin"/>
        </w:r>
        <w:r w:rsidR="00F42610">
          <w:rPr>
            <w:sz w:val="24"/>
          </w:rPr>
          <w:instrText xml:space="preserve"> PAGEREF _Toc516758909 \h </w:instrText>
        </w:r>
        <w:r w:rsidR="00F42610">
          <w:rPr>
            <w:sz w:val="24"/>
          </w:rPr>
        </w:r>
        <w:r w:rsidR="00F42610">
          <w:rPr>
            <w:sz w:val="24"/>
          </w:rPr>
          <w:fldChar w:fldCharType="separate"/>
        </w:r>
        <w:r w:rsidR="00F42610">
          <w:rPr>
            <w:sz w:val="24"/>
          </w:rPr>
          <w:t>40</w:t>
        </w:r>
        <w:r w:rsidR="00F42610">
          <w:rPr>
            <w:sz w:val="24"/>
          </w:rPr>
          <w:fldChar w:fldCharType="end"/>
        </w:r>
      </w:hyperlink>
    </w:p>
    <w:p w14:paraId="6F04141C" w14:textId="77777777" w:rsidR="004E1659" w:rsidRDefault="00395293">
      <w:pPr>
        <w:pStyle w:val="21"/>
        <w:spacing w:line="360" w:lineRule="auto"/>
        <w:ind w:leftChars="0" w:left="0"/>
        <w:rPr>
          <w:sz w:val="24"/>
        </w:rPr>
      </w:pPr>
      <w:hyperlink w:anchor="_Toc516758910" w:history="1">
        <w:r w:rsidR="00F42610">
          <w:rPr>
            <w:rFonts w:ascii="宋体" w:hAnsi="宋体" w:hint="eastAsia"/>
            <w:sz w:val="24"/>
          </w:rPr>
          <w:t>十六、托管协议的变更、终止与基金财产的清算</w:t>
        </w:r>
        <w:r w:rsidR="00F42610">
          <w:rPr>
            <w:sz w:val="24"/>
          </w:rPr>
          <w:tab/>
        </w:r>
        <w:r w:rsidR="00F42610">
          <w:rPr>
            <w:sz w:val="24"/>
          </w:rPr>
          <w:fldChar w:fldCharType="begin"/>
        </w:r>
        <w:r w:rsidR="00F42610">
          <w:rPr>
            <w:sz w:val="24"/>
          </w:rPr>
          <w:instrText xml:space="preserve"> PAGEREF _Toc516758910 \h </w:instrText>
        </w:r>
        <w:r w:rsidR="00F42610">
          <w:rPr>
            <w:sz w:val="24"/>
          </w:rPr>
        </w:r>
        <w:r w:rsidR="00F42610">
          <w:rPr>
            <w:sz w:val="24"/>
          </w:rPr>
          <w:fldChar w:fldCharType="separate"/>
        </w:r>
        <w:r w:rsidR="00F42610">
          <w:rPr>
            <w:sz w:val="24"/>
          </w:rPr>
          <w:t>41</w:t>
        </w:r>
        <w:r w:rsidR="00F42610">
          <w:rPr>
            <w:sz w:val="24"/>
          </w:rPr>
          <w:fldChar w:fldCharType="end"/>
        </w:r>
      </w:hyperlink>
    </w:p>
    <w:p w14:paraId="0A845B67" w14:textId="77777777" w:rsidR="004E1659" w:rsidRDefault="00395293">
      <w:pPr>
        <w:pStyle w:val="21"/>
        <w:spacing w:line="360" w:lineRule="auto"/>
        <w:ind w:leftChars="0" w:left="0"/>
        <w:rPr>
          <w:sz w:val="24"/>
        </w:rPr>
      </w:pPr>
      <w:hyperlink w:anchor="_Toc516758911" w:history="1">
        <w:r w:rsidR="00F42610">
          <w:rPr>
            <w:rFonts w:ascii="宋体" w:hAnsi="宋体" w:hint="eastAsia"/>
            <w:sz w:val="24"/>
          </w:rPr>
          <w:t>十七、违约责任</w:t>
        </w:r>
        <w:r w:rsidR="00F42610">
          <w:rPr>
            <w:sz w:val="24"/>
          </w:rPr>
          <w:tab/>
        </w:r>
        <w:r w:rsidR="00F42610">
          <w:rPr>
            <w:sz w:val="24"/>
          </w:rPr>
          <w:fldChar w:fldCharType="begin"/>
        </w:r>
        <w:r w:rsidR="00F42610">
          <w:rPr>
            <w:sz w:val="24"/>
          </w:rPr>
          <w:instrText xml:space="preserve"> PAGEREF _Toc516758911 \h </w:instrText>
        </w:r>
        <w:r w:rsidR="00F42610">
          <w:rPr>
            <w:sz w:val="24"/>
          </w:rPr>
        </w:r>
        <w:r w:rsidR="00F42610">
          <w:rPr>
            <w:sz w:val="24"/>
          </w:rPr>
          <w:fldChar w:fldCharType="separate"/>
        </w:r>
        <w:r w:rsidR="00F42610">
          <w:rPr>
            <w:sz w:val="24"/>
          </w:rPr>
          <w:t>42</w:t>
        </w:r>
        <w:r w:rsidR="00F42610">
          <w:rPr>
            <w:sz w:val="24"/>
          </w:rPr>
          <w:fldChar w:fldCharType="end"/>
        </w:r>
      </w:hyperlink>
    </w:p>
    <w:p w14:paraId="12B3412F" w14:textId="77777777" w:rsidR="004E1659" w:rsidRDefault="00395293">
      <w:pPr>
        <w:pStyle w:val="21"/>
        <w:spacing w:line="360" w:lineRule="auto"/>
        <w:ind w:leftChars="0" w:left="0"/>
        <w:rPr>
          <w:sz w:val="24"/>
        </w:rPr>
      </w:pPr>
      <w:hyperlink w:anchor="_Toc516758912" w:history="1">
        <w:r w:rsidR="00F42610">
          <w:rPr>
            <w:rFonts w:ascii="宋体" w:hAnsi="宋体" w:hint="eastAsia"/>
            <w:sz w:val="24"/>
          </w:rPr>
          <w:t>十八、争议解决方式</w:t>
        </w:r>
        <w:r w:rsidR="00F42610">
          <w:rPr>
            <w:sz w:val="24"/>
          </w:rPr>
          <w:tab/>
        </w:r>
        <w:r w:rsidR="00F42610">
          <w:rPr>
            <w:sz w:val="24"/>
          </w:rPr>
          <w:fldChar w:fldCharType="begin"/>
        </w:r>
        <w:r w:rsidR="00F42610">
          <w:rPr>
            <w:sz w:val="24"/>
          </w:rPr>
          <w:instrText xml:space="preserve"> PAGEREF _Toc516758912 \h </w:instrText>
        </w:r>
        <w:r w:rsidR="00F42610">
          <w:rPr>
            <w:sz w:val="24"/>
          </w:rPr>
        </w:r>
        <w:r w:rsidR="00F42610">
          <w:rPr>
            <w:sz w:val="24"/>
          </w:rPr>
          <w:fldChar w:fldCharType="separate"/>
        </w:r>
        <w:r w:rsidR="00F42610">
          <w:rPr>
            <w:sz w:val="24"/>
          </w:rPr>
          <w:t>44</w:t>
        </w:r>
        <w:r w:rsidR="00F42610">
          <w:rPr>
            <w:sz w:val="24"/>
          </w:rPr>
          <w:fldChar w:fldCharType="end"/>
        </w:r>
      </w:hyperlink>
    </w:p>
    <w:p w14:paraId="01D8557C" w14:textId="77777777" w:rsidR="004E1659" w:rsidRDefault="00395293">
      <w:pPr>
        <w:pStyle w:val="21"/>
        <w:spacing w:line="360" w:lineRule="auto"/>
        <w:ind w:leftChars="0" w:left="0"/>
        <w:rPr>
          <w:sz w:val="24"/>
        </w:rPr>
      </w:pPr>
      <w:hyperlink w:anchor="_Toc516758913" w:history="1">
        <w:r w:rsidR="00F42610">
          <w:rPr>
            <w:rFonts w:ascii="宋体" w:hAnsi="宋体" w:hint="eastAsia"/>
            <w:sz w:val="24"/>
          </w:rPr>
          <w:t>十九、托管协议的效力</w:t>
        </w:r>
        <w:r w:rsidR="00F42610">
          <w:rPr>
            <w:sz w:val="24"/>
          </w:rPr>
          <w:tab/>
        </w:r>
        <w:r w:rsidR="00F42610">
          <w:rPr>
            <w:sz w:val="24"/>
          </w:rPr>
          <w:fldChar w:fldCharType="begin"/>
        </w:r>
        <w:r w:rsidR="00F42610">
          <w:rPr>
            <w:sz w:val="24"/>
          </w:rPr>
          <w:instrText xml:space="preserve"> PAGEREF _Toc516758913 \h </w:instrText>
        </w:r>
        <w:r w:rsidR="00F42610">
          <w:rPr>
            <w:sz w:val="24"/>
          </w:rPr>
        </w:r>
        <w:r w:rsidR="00F42610">
          <w:rPr>
            <w:sz w:val="24"/>
          </w:rPr>
          <w:fldChar w:fldCharType="separate"/>
        </w:r>
        <w:r w:rsidR="00F42610">
          <w:rPr>
            <w:sz w:val="24"/>
          </w:rPr>
          <w:t>44</w:t>
        </w:r>
        <w:r w:rsidR="00F42610">
          <w:rPr>
            <w:sz w:val="24"/>
          </w:rPr>
          <w:fldChar w:fldCharType="end"/>
        </w:r>
      </w:hyperlink>
    </w:p>
    <w:p w14:paraId="63542C5E" w14:textId="77777777" w:rsidR="004E1659" w:rsidRDefault="00395293">
      <w:pPr>
        <w:pStyle w:val="21"/>
        <w:spacing w:line="360" w:lineRule="auto"/>
        <w:ind w:leftChars="0" w:left="0"/>
        <w:rPr>
          <w:sz w:val="24"/>
        </w:rPr>
      </w:pPr>
      <w:hyperlink w:anchor="_Toc516758914" w:history="1">
        <w:r w:rsidR="00F42610">
          <w:rPr>
            <w:rFonts w:ascii="宋体" w:hAnsi="宋体" w:hint="eastAsia"/>
            <w:sz w:val="24"/>
          </w:rPr>
          <w:t>二十、其他事项</w:t>
        </w:r>
        <w:r w:rsidR="00F42610">
          <w:rPr>
            <w:sz w:val="24"/>
          </w:rPr>
          <w:tab/>
        </w:r>
        <w:r w:rsidR="00F42610">
          <w:rPr>
            <w:sz w:val="24"/>
          </w:rPr>
          <w:fldChar w:fldCharType="begin"/>
        </w:r>
        <w:r w:rsidR="00F42610">
          <w:rPr>
            <w:sz w:val="24"/>
          </w:rPr>
          <w:instrText xml:space="preserve"> PAGEREF _Toc516758914 \h </w:instrText>
        </w:r>
        <w:r w:rsidR="00F42610">
          <w:rPr>
            <w:sz w:val="24"/>
          </w:rPr>
        </w:r>
        <w:r w:rsidR="00F42610">
          <w:rPr>
            <w:sz w:val="24"/>
          </w:rPr>
          <w:fldChar w:fldCharType="separate"/>
        </w:r>
        <w:r w:rsidR="00F42610">
          <w:rPr>
            <w:sz w:val="24"/>
          </w:rPr>
          <w:t>45</w:t>
        </w:r>
        <w:r w:rsidR="00F42610">
          <w:rPr>
            <w:sz w:val="24"/>
          </w:rPr>
          <w:fldChar w:fldCharType="end"/>
        </w:r>
      </w:hyperlink>
    </w:p>
    <w:p w14:paraId="2F370671" w14:textId="77777777" w:rsidR="004E1659" w:rsidRDefault="00395293">
      <w:pPr>
        <w:pStyle w:val="21"/>
        <w:spacing w:line="360" w:lineRule="auto"/>
        <w:ind w:leftChars="0" w:left="0"/>
      </w:pPr>
      <w:hyperlink w:anchor="_Toc516758915" w:history="1">
        <w:r w:rsidR="00F42610">
          <w:rPr>
            <w:rFonts w:ascii="宋体" w:hAnsi="宋体" w:hint="eastAsia"/>
            <w:sz w:val="24"/>
          </w:rPr>
          <w:t>二十一、托管协议的签订</w:t>
        </w:r>
        <w:r w:rsidR="00F42610">
          <w:rPr>
            <w:sz w:val="24"/>
          </w:rPr>
          <w:tab/>
        </w:r>
        <w:r w:rsidR="00F42610">
          <w:rPr>
            <w:sz w:val="24"/>
          </w:rPr>
          <w:fldChar w:fldCharType="begin"/>
        </w:r>
        <w:r w:rsidR="00F42610">
          <w:rPr>
            <w:sz w:val="24"/>
          </w:rPr>
          <w:instrText xml:space="preserve"> PAGEREF _Toc516758915 \h </w:instrText>
        </w:r>
        <w:r w:rsidR="00F42610">
          <w:rPr>
            <w:sz w:val="24"/>
          </w:rPr>
        </w:r>
        <w:r w:rsidR="00F42610">
          <w:rPr>
            <w:sz w:val="24"/>
          </w:rPr>
          <w:fldChar w:fldCharType="separate"/>
        </w:r>
        <w:r w:rsidR="00F42610">
          <w:rPr>
            <w:sz w:val="24"/>
          </w:rPr>
          <w:t>45</w:t>
        </w:r>
        <w:r w:rsidR="00F42610">
          <w:rPr>
            <w:sz w:val="24"/>
          </w:rPr>
          <w:fldChar w:fldCharType="end"/>
        </w:r>
      </w:hyperlink>
    </w:p>
    <w:p w14:paraId="6CFEE3EE" w14:textId="77777777" w:rsidR="004E1659" w:rsidRDefault="00F42610">
      <w:pPr>
        <w:widowControl/>
        <w:adjustRightInd w:val="0"/>
        <w:snapToGrid w:val="0"/>
        <w:spacing w:line="360" w:lineRule="auto"/>
        <w:ind w:firstLineChars="200" w:firstLine="560"/>
        <w:rPr>
          <w:rFonts w:ascii="宋体" w:hAnsi="宋体"/>
          <w:sz w:val="28"/>
          <w:szCs w:val="28"/>
        </w:rPr>
      </w:pPr>
      <w:r>
        <w:rPr>
          <w:rFonts w:ascii="宋体" w:hAnsi="宋体" w:hint="eastAsia"/>
          <w:sz w:val="28"/>
          <w:szCs w:val="28"/>
        </w:rPr>
        <w:fldChar w:fldCharType="end"/>
      </w:r>
    </w:p>
    <w:p w14:paraId="097B1B39" w14:textId="77777777" w:rsidR="004E1659" w:rsidRDefault="00F42610">
      <w:pPr>
        <w:widowControl/>
        <w:jc w:val="left"/>
        <w:rPr>
          <w:rFonts w:ascii="宋体" w:hAnsi="宋体"/>
          <w:sz w:val="28"/>
          <w:szCs w:val="28"/>
        </w:rPr>
      </w:pPr>
      <w:r>
        <w:rPr>
          <w:rFonts w:ascii="宋体" w:hAnsi="宋体"/>
          <w:sz w:val="28"/>
          <w:szCs w:val="28"/>
        </w:rPr>
        <w:br w:type="page"/>
      </w:r>
    </w:p>
    <w:p w14:paraId="52D013A0" w14:textId="77777777" w:rsidR="004E1659" w:rsidRDefault="004E1659" w:rsidP="0097018F">
      <w:pPr>
        <w:rPr>
          <w:rFonts w:ascii="宋体" w:hAnsi="宋体"/>
          <w:sz w:val="28"/>
          <w:szCs w:val="28"/>
        </w:rPr>
      </w:pPr>
    </w:p>
    <w:p w14:paraId="138DCAA1" w14:textId="5556287F" w:rsidR="004E1659" w:rsidRDefault="00F42610">
      <w:pPr>
        <w:widowControl/>
        <w:adjustRightInd w:val="0"/>
        <w:snapToGrid w:val="0"/>
        <w:spacing w:line="360" w:lineRule="auto"/>
        <w:ind w:firstLineChars="200" w:firstLine="480"/>
        <w:rPr>
          <w:rFonts w:ascii="宋体" w:hAnsi="宋体" w:cs="Arial"/>
          <w:kern w:val="0"/>
          <w:sz w:val="24"/>
        </w:rPr>
      </w:pPr>
      <w:r>
        <w:rPr>
          <w:rFonts w:ascii="宋体" w:hAnsi="宋体" w:cs="Arial" w:hint="eastAsia"/>
          <w:kern w:val="0"/>
          <w:sz w:val="24"/>
        </w:rPr>
        <w:t>鉴于银华基金管理股份有限公司系一家依照中国法律合法成立并有效存续的股份有限公司，按照相关法律法规的规定具备担任基金管理人的资格和能力，拟募集发行银华智享混合型证券投资基金；</w:t>
      </w:r>
    </w:p>
    <w:p w14:paraId="41A32C60" w14:textId="77777777" w:rsidR="004E1659" w:rsidRDefault="00F42610">
      <w:pPr>
        <w:widowControl/>
        <w:adjustRightInd w:val="0"/>
        <w:snapToGrid w:val="0"/>
        <w:spacing w:line="360" w:lineRule="auto"/>
        <w:ind w:firstLineChars="200" w:firstLine="480"/>
        <w:rPr>
          <w:rFonts w:ascii="宋体" w:hAnsi="宋体" w:cs="Arial"/>
          <w:kern w:val="0"/>
          <w:sz w:val="24"/>
        </w:rPr>
      </w:pPr>
      <w:r>
        <w:rPr>
          <w:rFonts w:ascii="宋体" w:hAnsi="宋体" w:cs="Arial" w:hint="eastAsia"/>
          <w:kern w:val="0"/>
          <w:sz w:val="24"/>
        </w:rPr>
        <w:t>鉴于中国建设银行股份有限公司系一</w:t>
      </w:r>
      <w:bookmarkStart w:id="7" w:name="_GoBack"/>
      <w:bookmarkEnd w:id="7"/>
      <w:r>
        <w:rPr>
          <w:rFonts w:ascii="宋体" w:hAnsi="宋体" w:cs="Arial" w:hint="eastAsia"/>
          <w:kern w:val="0"/>
          <w:sz w:val="24"/>
        </w:rPr>
        <w:t>家依照中国法律合法成立并有效存续的银行，按照相关法律法规的规定具备担任基金托管人的资格和能力；</w:t>
      </w:r>
    </w:p>
    <w:p w14:paraId="2BEA26F5" w14:textId="275FD637" w:rsidR="004E1659" w:rsidRDefault="00F42610">
      <w:pPr>
        <w:widowControl/>
        <w:adjustRightInd w:val="0"/>
        <w:snapToGrid w:val="0"/>
        <w:spacing w:line="360" w:lineRule="auto"/>
        <w:ind w:firstLineChars="200" w:firstLine="480"/>
        <w:rPr>
          <w:rFonts w:ascii="宋体" w:hAnsi="宋体" w:cs="Arial"/>
          <w:kern w:val="0"/>
          <w:sz w:val="24"/>
        </w:rPr>
      </w:pPr>
      <w:r>
        <w:rPr>
          <w:rFonts w:ascii="宋体" w:hAnsi="宋体" w:cs="Arial" w:hint="eastAsia"/>
          <w:kern w:val="0"/>
          <w:sz w:val="24"/>
        </w:rPr>
        <w:t>鉴于银华基金管理股份有限公司拟担任银华智享混合型证券投资基金的基金管理人，中国建设银行股份有限公司拟担任银华智享混合型证券投资基金的基金托管人；</w:t>
      </w:r>
    </w:p>
    <w:p w14:paraId="50E554CD" w14:textId="22A9C87C" w:rsidR="004E1659" w:rsidRDefault="00F42610">
      <w:pPr>
        <w:widowControl/>
        <w:adjustRightInd w:val="0"/>
        <w:snapToGrid w:val="0"/>
        <w:spacing w:line="360" w:lineRule="auto"/>
        <w:ind w:firstLineChars="200" w:firstLine="480"/>
        <w:rPr>
          <w:rFonts w:ascii="宋体" w:hAnsi="宋体" w:cs="Arial"/>
          <w:kern w:val="0"/>
          <w:sz w:val="24"/>
        </w:rPr>
      </w:pPr>
      <w:r>
        <w:rPr>
          <w:rFonts w:ascii="宋体" w:hAnsi="宋体" w:cs="Arial" w:hint="eastAsia"/>
          <w:kern w:val="0"/>
          <w:sz w:val="24"/>
        </w:rPr>
        <w:t>为明确银华智享混合型证券投资基金的基金管理人和基金托管人之间的权利义务关系，特制订本托管协议；</w:t>
      </w:r>
    </w:p>
    <w:p w14:paraId="08F32779" w14:textId="667D01FB" w:rsidR="004E1659" w:rsidRDefault="00F42610">
      <w:pPr>
        <w:widowControl/>
        <w:adjustRightInd w:val="0"/>
        <w:snapToGrid w:val="0"/>
        <w:spacing w:line="360" w:lineRule="auto"/>
        <w:ind w:firstLineChars="200" w:firstLine="480"/>
        <w:rPr>
          <w:rFonts w:ascii="宋体" w:hAnsi="宋体" w:cs="Arial"/>
          <w:kern w:val="0"/>
          <w:sz w:val="24"/>
          <w:lang w:val="en-GB"/>
        </w:rPr>
      </w:pPr>
      <w:r>
        <w:rPr>
          <w:rFonts w:ascii="宋体" w:hAnsi="宋体" w:cs="Arial" w:hint="eastAsia"/>
          <w:kern w:val="0"/>
          <w:sz w:val="24"/>
          <w:lang w:val="en-GB"/>
        </w:rPr>
        <w:t>除非另有约定，《</w:t>
      </w:r>
      <w:r>
        <w:rPr>
          <w:rFonts w:ascii="宋体" w:hAnsi="宋体" w:cs="Arial" w:hint="eastAsia"/>
          <w:kern w:val="0"/>
          <w:sz w:val="24"/>
        </w:rPr>
        <w:t>银华智享混合型证券投资基金</w:t>
      </w:r>
      <w:r>
        <w:rPr>
          <w:rFonts w:ascii="宋体" w:hAnsi="宋体" w:cs="Arial" w:hint="eastAsia"/>
          <w:kern w:val="0"/>
          <w:sz w:val="24"/>
          <w:lang w:val="en-GB"/>
        </w:rPr>
        <w:t>基金合同》（以下简称“基金合同”或“《基金合同》”）中定义的术语在用于本托管协议时应具有相同的含义；若有抵触应以《基金合同》为准，并依其</w:t>
      </w:r>
      <w:r>
        <w:rPr>
          <w:rFonts w:ascii="宋体" w:hAnsi="宋体" w:cs="Arial" w:hint="eastAsia"/>
          <w:kern w:val="0"/>
          <w:sz w:val="24"/>
        </w:rPr>
        <w:t>条款</w:t>
      </w:r>
      <w:r>
        <w:rPr>
          <w:rFonts w:ascii="宋体" w:hAnsi="宋体" w:cs="Arial" w:hint="eastAsia"/>
          <w:kern w:val="0"/>
          <w:sz w:val="24"/>
          <w:lang w:val="en-GB"/>
        </w:rPr>
        <w:t>解释。</w:t>
      </w:r>
    </w:p>
    <w:p w14:paraId="733E0F1E" w14:textId="77777777" w:rsidR="004E1659" w:rsidRDefault="00F42610">
      <w:pPr>
        <w:widowControl/>
        <w:adjustRightInd w:val="0"/>
        <w:snapToGrid w:val="0"/>
        <w:spacing w:line="360" w:lineRule="auto"/>
        <w:ind w:firstLineChars="200" w:firstLine="480"/>
        <w:rPr>
          <w:rFonts w:ascii="宋体" w:hAnsi="宋体" w:cs="Arial"/>
          <w:kern w:val="0"/>
          <w:sz w:val="24"/>
          <w:lang w:val="en-GB"/>
        </w:rPr>
      </w:pPr>
      <w:r>
        <w:rPr>
          <w:rFonts w:ascii="宋体" w:hAnsi="宋体" w:cs="Arial" w:hint="eastAsia"/>
          <w:kern w:val="0"/>
          <w:sz w:val="24"/>
          <w:lang w:val="en-GB"/>
        </w:rPr>
        <w:t>若本基金实施侧袋机制的，侧袋机制实施期间的相关安排见基金合同和招募说明书的规定。</w:t>
      </w:r>
    </w:p>
    <w:p w14:paraId="2ED6DAA6" w14:textId="77777777" w:rsidR="004E1659" w:rsidRDefault="004E1659">
      <w:pPr>
        <w:spacing w:line="360" w:lineRule="auto"/>
        <w:rPr>
          <w:rFonts w:ascii="宋体" w:hAnsi="宋体"/>
          <w:sz w:val="24"/>
          <w:lang w:val="en-GB"/>
        </w:rPr>
      </w:pPr>
    </w:p>
    <w:p w14:paraId="038EE9C0" w14:textId="77777777" w:rsidR="004E1659" w:rsidRDefault="00F42610">
      <w:pPr>
        <w:pStyle w:val="2"/>
        <w:spacing w:line="360" w:lineRule="auto"/>
        <w:jc w:val="center"/>
        <w:rPr>
          <w:rFonts w:ascii="宋体" w:eastAsia="宋体" w:hAnsi="宋体"/>
        </w:rPr>
      </w:pPr>
      <w:bookmarkStart w:id="8" w:name="_Toc516758895"/>
      <w:r>
        <w:rPr>
          <w:rFonts w:ascii="宋体" w:eastAsia="宋体" w:hAnsi="宋体" w:hint="eastAsia"/>
        </w:rPr>
        <w:t>一、基金托管协议当事人</w:t>
      </w:r>
      <w:bookmarkEnd w:id="8"/>
    </w:p>
    <w:p w14:paraId="1CAA1D41" w14:textId="77777777" w:rsidR="004E1659" w:rsidRDefault="00F42610">
      <w:pPr>
        <w:spacing w:line="360" w:lineRule="auto"/>
        <w:ind w:firstLineChars="200" w:firstLine="480"/>
        <w:rPr>
          <w:rFonts w:ascii="宋体" w:hAnsi="宋体" w:cs="Arial"/>
          <w:sz w:val="24"/>
        </w:rPr>
      </w:pPr>
      <w:r>
        <w:rPr>
          <w:rFonts w:ascii="宋体" w:hAnsi="宋体" w:cs="Arial" w:hint="eastAsia"/>
          <w:sz w:val="24"/>
        </w:rPr>
        <w:t>（一）基金管理人（或称“管理人”）</w:t>
      </w:r>
    </w:p>
    <w:p w14:paraId="45310A6C" w14:textId="77777777" w:rsidR="004E1659" w:rsidRDefault="00F42610">
      <w:pPr>
        <w:spacing w:line="360" w:lineRule="auto"/>
        <w:ind w:firstLineChars="200" w:firstLine="480"/>
        <w:rPr>
          <w:rFonts w:ascii="宋体" w:hAnsi="宋体" w:cs="Arial"/>
          <w:sz w:val="24"/>
        </w:rPr>
      </w:pPr>
      <w:r>
        <w:rPr>
          <w:rFonts w:ascii="宋体" w:hAnsi="宋体" w:cs="Arial" w:hint="eastAsia"/>
          <w:sz w:val="24"/>
        </w:rPr>
        <w:t>名称：银华基金管理股份有限公司</w:t>
      </w:r>
    </w:p>
    <w:p w14:paraId="0569B9D7" w14:textId="77777777" w:rsidR="004E1659" w:rsidRDefault="00F42610">
      <w:pPr>
        <w:spacing w:line="360" w:lineRule="auto"/>
        <w:ind w:firstLineChars="200" w:firstLine="480"/>
        <w:rPr>
          <w:rFonts w:ascii="宋体" w:hAnsi="宋体" w:cs="Arial"/>
          <w:sz w:val="24"/>
        </w:rPr>
      </w:pPr>
      <w:r>
        <w:rPr>
          <w:rFonts w:ascii="宋体" w:hAnsi="宋体" w:cs="Arial" w:hint="eastAsia"/>
          <w:sz w:val="24"/>
        </w:rPr>
        <w:t>住所：深圳市福田区深南大道6008号特区报业大厦19层</w:t>
      </w:r>
    </w:p>
    <w:p w14:paraId="440B1019" w14:textId="77777777" w:rsidR="004E1659" w:rsidRDefault="00F42610">
      <w:pPr>
        <w:spacing w:line="360" w:lineRule="auto"/>
        <w:ind w:firstLineChars="200" w:firstLine="480"/>
        <w:rPr>
          <w:rFonts w:ascii="宋体" w:hAnsi="宋体" w:cs="Arial"/>
          <w:sz w:val="24"/>
        </w:rPr>
      </w:pPr>
      <w:r>
        <w:rPr>
          <w:rFonts w:ascii="宋体" w:hAnsi="宋体" w:cs="Arial" w:hint="eastAsia"/>
          <w:sz w:val="24"/>
        </w:rPr>
        <w:t>办公地址：北京市东城区东长安街1号东方广场东方经贸城C2办公楼15层</w:t>
      </w:r>
    </w:p>
    <w:p w14:paraId="77756240" w14:textId="77777777" w:rsidR="004E1659" w:rsidRDefault="00F42610">
      <w:pPr>
        <w:spacing w:line="360" w:lineRule="auto"/>
        <w:ind w:firstLineChars="200" w:firstLine="480"/>
        <w:rPr>
          <w:rFonts w:ascii="宋体" w:hAnsi="宋体" w:cs="Arial"/>
          <w:sz w:val="24"/>
        </w:rPr>
      </w:pPr>
      <w:r>
        <w:rPr>
          <w:rFonts w:ascii="宋体" w:hAnsi="宋体" w:cs="Arial" w:hint="eastAsia"/>
          <w:sz w:val="24"/>
        </w:rPr>
        <w:t>邮政编码：</w:t>
      </w:r>
      <w:r>
        <w:rPr>
          <w:rFonts w:ascii="宋体" w:hAnsi="宋体" w:cs="Arial"/>
          <w:sz w:val="24"/>
        </w:rPr>
        <w:t>100738</w:t>
      </w:r>
    </w:p>
    <w:p w14:paraId="6D4722EA" w14:textId="77777777" w:rsidR="004E1659" w:rsidRDefault="00F42610">
      <w:pPr>
        <w:spacing w:line="360" w:lineRule="auto"/>
        <w:ind w:firstLineChars="200" w:firstLine="480"/>
        <w:rPr>
          <w:rFonts w:ascii="宋体" w:hAnsi="宋体" w:cs="Arial"/>
          <w:sz w:val="24"/>
        </w:rPr>
      </w:pPr>
      <w:r>
        <w:rPr>
          <w:rFonts w:ascii="宋体" w:hAnsi="宋体" w:cs="Arial" w:hint="eastAsia"/>
          <w:sz w:val="24"/>
        </w:rPr>
        <w:t>法定代表人：王珠林</w:t>
      </w:r>
    </w:p>
    <w:p w14:paraId="5D1359FA" w14:textId="77777777" w:rsidR="004E1659" w:rsidRDefault="00F42610">
      <w:pPr>
        <w:spacing w:line="360" w:lineRule="auto"/>
        <w:ind w:firstLineChars="200" w:firstLine="480"/>
        <w:rPr>
          <w:rFonts w:ascii="宋体" w:hAnsi="宋体" w:cs="Arial"/>
          <w:sz w:val="24"/>
        </w:rPr>
      </w:pPr>
      <w:r>
        <w:rPr>
          <w:rFonts w:ascii="宋体" w:hAnsi="宋体" w:cs="Arial" w:hint="eastAsia"/>
          <w:sz w:val="24"/>
        </w:rPr>
        <w:t>成立日期：2001年5月28日</w:t>
      </w:r>
    </w:p>
    <w:p w14:paraId="4A6FA61C" w14:textId="77777777" w:rsidR="004E1659" w:rsidRDefault="00F42610">
      <w:pPr>
        <w:spacing w:line="360" w:lineRule="auto"/>
        <w:ind w:firstLineChars="200" w:firstLine="480"/>
        <w:rPr>
          <w:rFonts w:ascii="宋体" w:hAnsi="宋体" w:cs="Arial"/>
          <w:sz w:val="24"/>
        </w:rPr>
      </w:pPr>
      <w:r>
        <w:rPr>
          <w:rFonts w:ascii="宋体" w:hAnsi="宋体" w:cs="Arial" w:hint="eastAsia"/>
          <w:sz w:val="24"/>
        </w:rPr>
        <w:t>批准设立机关及批准设立文号：中国证监会证监基金字[</w:t>
      </w:r>
      <w:r>
        <w:rPr>
          <w:rFonts w:ascii="宋体" w:hAnsi="宋体" w:cs="Arial"/>
          <w:sz w:val="24"/>
        </w:rPr>
        <w:t>2001</w:t>
      </w:r>
      <w:r>
        <w:rPr>
          <w:rFonts w:ascii="宋体" w:hAnsi="宋体" w:cs="Arial" w:hint="eastAsia"/>
          <w:sz w:val="24"/>
        </w:rPr>
        <w:t>]</w:t>
      </w:r>
      <w:r>
        <w:rPr>
          <w:rFonts w:ascii="宋体" w:hAnsi="宋体" w:cs="Arial"/>
          <w:sz w:val="24"/>
        </w:rPr>
        <w:t>7</w:t>
      </w:r>
      <w:r>
        <w:rPr>
          <w:rFonts w:ascii="宋体" w:hAnsi="宋体" w:cs="Arial" w:hint="eastAsia"/>
          <w:sz w:val="24"/>
        </w:rPr>
        <w:t>号</w:t>
      </w:r>
    </w:p>
    <w:p w14:paraId="3844554B" w14:textId="77777777" w:rsidR="004E1659" w:rsidRDefault="00F42610">
      <w:pPr>
        <w:spacing w:line="360" w:lineRule="auto"/>
        <w:ind w:firstLineChars="200" w:firstLine="480"/>
        <w:rPr>
          <w:rFonts w:ascii="宋体" w:hAnsi="宋体" w:cs="Arial"/>
          <w:sz w:val="24"/>
        </w:rPr>
      </w:pPr>
      <w:r>
        <w:rPr>
          <w:rFonts w:ascii="宋体" w:hAnsi="宋体" w:cs="Arial" w:hint="eastAsia"/>
          <w:sz w:val="24"/>
        </w:rPr>
        <w:t>组织形式：股份有限公司</w:t>
      </w:r>
    </w:p>
    <w:p w14:paraId="3088DEE9" w14:textId="77777777" w:rsidR="004E1659" w:rsidRDefault="00F42610">
      <w:pPr>
        <w:spacing w:line="360" w:lineRule="auto"/>
        <w:ind w:firstLineChars="200" w:firstLine="480"/>
        <w:rPr>
          <w:rFonts w:ascii="宋体" w:hAnsi="宋体" w:cs="Arial"/>
          <w:sz w:val="24"/>
        </w:rPr>
      </w:pPr>
      <w:r>
        <w:rPr>
          <w:rFonts w:ascii="宋体" w:hAnsi="宋体" w:cs="Arial" w:hint="eastAsia"/>
          <w:sz w:val="24"/>
        </w:rPr>
        <w:t>注册资本：贰亿贰仟</w:t>
      </w:r>
      <w:r>
        <w:rPr>
          <w:rFonts w:ascii="宋体" w:hAnsi="宋体" w:cs="Arial"/>
          <w:sz w:val="24"/>
        </w:rPr>
        <w:t>贰佰贰拾万</w:t>
      </w:r>
      <w:r>
        <w:rPr>
          <w:rFonts w:ascii="宋体" w:hAnsi="宋体" w:cs="Arial" w:hint="eastAsia"/>
          <w:sz w:val="24"/>
        </w:rPr>
        <w:t>元人民币</w:t>
      </w:r>
    </w:p>
    <w:p w14:paraId="0DDC611F" w14:textId="77777777" w:rsidR="004E1659" w:rsidRDefault="00F42610">
      <w:pPr>
        <w:spacing w:line="360" w:lineRule="auto"/>
        <w:ind w:firstLineChars="200" w:firstLine="480"/>
        <w:rPr>
          <w:rFonts w:ascii="宋体" w:hAnsi="宋体" w:cs="Arial"/>
          <w:sz w:val="24"/>
        </w:rPr>
      </w:pPr>
      <w:r>
        <w:rPr>
          <w:rFonts w:ascii="宋体" w:hAnsi="宋体" w:cs="Arial" w:hint="eastAsia"/>
          <w:sz w:val="24"/>
        </w:rPr>
        <w:lastRenderedPageBreak/>
        <w:t>存续期间：持续经营</w:t>
      </w:r>
    </w:p>
    <w:p w14:paraId="5A8698E2" w14:textId="77777777" w:rsidR="004E1659" w:rsidRDefault="00F42610">
      <w:pPr>
        <w:spacing w:line="360" w:lineRule="auto"/>
        <w:ind w:firstLineChars="200" w:firstLine="480"/>
        <w:rPr>
          <w:rFonts w:ascii="宋体" w:hAnsi="宋体" w:cs="Arial"/>
          <w:sz w:val="24"/>
        </w:rPr>
      </w:pPr>
      <w:r>
        <w:rPr>
          <w:rFonts w:ascii="宋体" w:hAnsi="宋体" w:cs="Arial" w:hint="eastAsia"/>
          <w:sz w:val="24"/>
        </w:rPr>
        <w:t>联系电话：010-58163000</w:t>
      </w:r>
    </w:p>
    <w:p w14:paraId="78A3FFE6" w14:textId="77777777" w:rsidR="004E1659" w:rsidRDefault="00F42610">
      <w:pPr>
        <w:spacing w:line="360" w:lineRule="auto"/>
        <w:ind w:firstLineChars="200" w:firstLine="480"/>
        <w:rPr>
          <w:rFonts w:ascii="宋体" w:hAnsi="宋体" w:cs="Arial"/>
          <w:sz w:val="24"/>
        </w:rPr>
      </w:pPr>
      <w:r>
        <w:rPr>
          <w:rFonts w:ascii="宋体" w:hAnsi="宋体" w:cs="Arial" w:hint="eastAsia"/>
          <w:sz w:val="24"/>
        </w:rPr>
        <w:t>经营范围：基金募集、基金销售、资产管理、中国证监会许可的其他业务</w:t>
      </w:r>
    </w:p>
    <w:p w14:paraId="469D06AD" w14:textId="77777777" w:rsidR="004E1659" w:rsidRDefault="00F42610">
      <w:pPr>
        <w:spacing w:line="360" w:lineRule="auto"/>
        <w:ind w:firstLineChars="200" w:firstLine="480"/>
        <w:rPr>
          <w:rFonts w:ascii="宋体" w:hAnsi="宋体" w:cs="Arial"/>
          <w:sz w:val="24"/>
        </w:rPr>
      </w:pPr>
      <w:r>
        <w:rPr>
          <w:rFonts w:ascii="宋体" w:hAnsi="宋体" w:cs="Arial" w:hint="eastAsia"/>
          <w:sz w:val="24"/>
        </w:rPr>
        <w:t>（二）基金托管人（或称“托管人”）</w:t>
      </w:r>
    </w:p>
    <w:p w14:paraId="1115F8E3" w14:textId="77777777" w:rsidR="004E1659" w:rsidRDefault="00F42610">
      <w:pPr>
        <w:spacing w:line="360" w:lineRule="auto"/>
        <w:ind w:firstLineChars="200" w:firstLine="480"/>
        <w:rPr>
          <w:rFonts w:ascii="宋体" w:hAnsi="宋体" w:cs="Arial"/>
          <w:sz w:val="24"/>
        </w:rPr>
      </w:pPr>
      <w:r>
        <w:rPr>
          <w:rFonts w:ascii="宋体" w:hAnsi="宋体" w:cs="Arial" w:hint="eastAsia"/>
          <w:sz w:val="24"/>
        </w:rPr>
        <w:t>名称：中国建设银行股份有限公司</w:t>
      </w:r>
    </w:p>
    <w:p w14:paraId="12F9CE5F" w14:textId="77777777" w:rsidR="004E1659" w:rsidRDefault="00F42610">
      <w:pPr>
        <w:spacing w:line="360" w:lineRule="auto"/>
        <w:ind w:firstLineChars="200" w:firstLine="480"/>
        <w:rPr>
          <w:rFonts w:ascii="宋体" w:hAnsi="宋体" w:cs="Arial"/>
          <w:sz w:val="24"/>
        </w:rPr>
      </w:pPr>
      <w:r>
        <w:rPr>
          <w:rFonts w:ascii="宋体" w:hAnsi="宋体" w:cs="Arial" w:hint="eastAsia"/>
          <w:sz w:val="24"/>
        </w:rPr>
        <w:t>住所：北京市西城区金融大街25号</w:t>
      </w:r>
    </w:p>
    <w:p w14:paraId="146EC4F1" w14:textId="77777777" w:rsidR="004E1659" w:rsidRDefault="00F42610">
      <w:pPr>
        <w:spacing w:line="360" w:lineRule="auto"/>
        <w:ind w:firstLineChars="200" w:firstLine="480"/>
        <w:rPr>
          <w:rFonts w:ascii="宋体" w:hAnsi="宋体" w:cs="Arial"/>
          <w:sz w:val="24"/>
        </w:rPr>
      </w:pPr>
      <w:r>
        <w:rPr>
          <w:rFonts w:ascii="宋体" w:hAnsi="宋体" w:cs="Arial" w:hint="eastAsia"/>
          <w:sz w:val="24"/>
        </w:rPr>
        <w:t>办公地址：北京市西城区闹市口大街1号院1号楼</w:t>
      </w:r>
    </w:p>
    <w:p w14:paraId="78860E64" w14:textId="77777777" w:rsidR="004E1659" w:rsidRDefault="00F42610">
      <w:pPr>
        <w:spacing w:line="360" w:lineRule="auto"/>
        <w:ind w:firstLineChars="200" w:firstLine="480"/>
        <w:rPr>
          <w:rFonts w:ascii="宋体" w:hAnsi="宋体" w:cs="Arial"/>
          <w:sz w:val="24"/>
        </w:rPr>
      </w:pPr>
      <w:r>
        <w:rPr>
          <w:rFonts w:ascii="宋体" w:hAnsi="宋体" w:cs="Arial" w:hint="eastAsia"/>
          <w:sz w:val="24"/>
        </w:rPr>
        <w:t>邮政编码：100033</w:t>
      </w:r>
    </w:p>
    <w:p w14:paraId="49E2FF0C" w14:textId="77777777" w:rsidR="004E1659" w:rsidRDefault="00F42610">
      <w:pPr>
        <w:spacing w:line="360" w:lineRule="auto"/>
        <w:ind w:firstLineChars="200" w:firstLine="480"/>
        <w:rPr>
          <w:rFonts w:ascii="宋体" w:hAnsi="宋体" w:cs="Arial"/>
          <w:sz w:val="24"/>
        </w:rPr>
      </w:pPr>
      <w:r>
        <w:rPr>
          <w:rFonts w:ascii="宋体" w:hAnsi="宋体" w:cs="Arial" w:hint="eastAsia"/>
          <w:sz w:val="24"/>
        </w:rPr>
        <w:t>法定代表人：张金良</w:t>
      </w:r>
    </w:p>
    <w:p w14:paraId="245F5EC8" w14:textId="77777777" w:rsidR="004E1659" w:rsidRDefault="00F42610">
      <w:pPr>
        <w:spacing w:line="360" w:lineRule="auto"/>
        <w:ind w:firstLineChars="200" w:firstLine="480"/>
        <w:rPr>
          <w:rFonts w:ascii="宋体" w:hAnsi="宋体" w:cs="Arial"/>
          <w:sz w:val="24"/>
        </w:rPr>
      </w:pPr>
      <w:r>
        <w:rPr>
          <w:rFonts w:ascii="宋体" w:hAnsi="宋体" w:cs="Arial" w:hint="eastAsia"/>
          <w:sz w:val="24"/>
        </w:rPr>
        <w:t>成立日期：2004年09月17日</w:t>
      </w:r>
    </w:p>
    <w:p w14:paraId="79C3D5F3" w14:textId="77777777" w:rsidR="004E1659" w:rsidRDefault="00F42610">
      <w:pPr>
        <w:spacing w:line="360" w:lineRule="auto"/>
        <w:ind w:firstLineChars="200" w:firstLine="480"/>
        <w:rPr>
          <w:rFonts w:ascii="宋体" w:hAnsi="宋体" w:cs="Arial"/>
          <w:sz w:val="24"/>
        </w:rPr>
      </w:pPr>
      <w:r>
        <w:rPr>
          <w:rFonts w:ascii="宋体" w:hAnsi="宋体" w:cs="Arial" w:hint="eastAsia"/>
          <w:sz w:val="24"/>
        </w:rPr>
        <w:t>基金托管业务批准文号：中国证监会证监基字[1998]12号</w:t>
      </w:r>
    </w:p>
    <w:p w14:paraId="68F3CD6D" w14:textId="77777777" w:rsidR="004E1659" w:rsidRDefault="00F42610">
      <w:pPr>
        <w:spacing w:line="360" w:lineRule="auto"/>
        <w:ind w:firstLineChars="200" w:firstLine="480"/>
        <w:rPr>
          <w:rFonts w:ascii="宋体" w:hAnsi="宋体" w:cs="Arial"/>
          <w:sz w:val="24"/>
        </w:rPr>
      </w:pPr>
      <w:r>
        <w:rPr>
          <w:rFonts w:ascii="宋体" w:hAnsi="宋体" w:cs="Arial" w:hint="eastAsia"/>
          <w:sz w:val="24"/>
        </w:rPr>
        <w:t>组织形式：股份有限公司</w:t>
      </w:r>
    </w:p>
    <w:p w14:paraId="6C1CBC11" w14:textId="77777777" w:rsidR="004E1659" w:rsidRDefault="00F42610">
      <w:pPr>
        <w:spacing w:line="360" w:lineRule="auto"/>
        <w:ind w:firstLineChars="200" w:firstLine="480"/>
        <w:rPr>
          <w:rFonts w:ascii="宋体" w:hAnsi="宋体" w:cs="Arial"/>
          <w:sz w:val="24"/>
        </w:rPr>
      </w:pPr>
      <w:r>
        <w:rPr>
          <w:rFonts w:ascii="宋体" w:hAnsi="宋体" w:cs="Arial" w:hint="eastAsia"/>
          <w:sz w:val="24"/>
        </w:rPr>
        <w:t>注册资本：人民币贰仟伍佰亿壹仟零玖拾柒万柒仟肆佰捌拾陆元整</w:t>
      </w:r>
    </w:p>
    <w:p w14:paraId="2567C07A" w14:textId="77777777" w:rsidR="004E1659" w:rsidRDefault="00F42610">
      <w:pPr>
        <w:spacing w:line="360" w:lineRule="auto"/>
        <w:ind w:firstLineChars="200" w:firstLine="480"/>
        <w:rPr>
          <w:rFonts w:ascii="宋体" w:hAnsi="宋体" w:cs="Arial"/>
          <w:sz w:val="24"/>
        </w:rPr>
      </w:pPr>
      <w:r>
        <w:rPr>
          <w:rFonts w:ascii="宋体" w:hAnsi="宋体" w:cs="Arial" w:hint="eastAsia"/>
          <w:sz w:val="24"/>
        </w:rPr>
        <w:t>存续期间：持续经营</w:t>
      </w:r>
    </w:p>
    <w:p w14:paraId="184FDC2B" w14:textId="77777777" w:rsidR="004E1659" w:rsidRDefault="00F42610">
      <w:pPr>
        <w:spacing w:line="360" w:lineRule="auto"/>
        <w:ind w:firstLineChars="200" w:firstLine="480"/>
        <w:rPr>
          <w:rFonts w:ascii="宋体" w:hAnsi="宋体" w:cs="Arial"/>
          <w:sz w:val="24"/>
        </w:rPr>
      </w:pPr>
      <w:r>
        <w:rPr>
          <w:rFonts w:ascii="宋体"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4ABE1AEA" w14:textId="77777777" w:rsidR="004E1659" w:rsidRDefault="004E1659">
      <w:pPr>
        <w:spacing w:line="360" w:lineRule="auto"/>
        <w:rPr>
          <w:rFonts w:ascii="宋体" w:hAnsi="宋体"/>
          <w:sz w:val="24"/>
        </w:rPr>
      </w:pPr>
    </w:p>
    <w:p w14:paraId="7A1B4CCF" w14:textId="77777777" w:rsidR="004E1659" w:rsidRDefault="00F42610">
      <w:pPr>
        <w:pStyle w:val="2"/>
        <w:spacing w:line="360" w:lineRule="auto"/>
        <w:jc w:val="center"/>
        <w:rPr>
          <w:rFonts w:ascii="宋体" w:eastAsia="宋体" w:hAnsi="宋体"/>
          <w:sz w:val="30"/>
        </w:rPr>
      </w:pPr>
      <w:bookmarkStart w:id="9" w:name="_Toc516758896"/>
      <w:r>
        <w:rPr>
          <w:rFonts w:ascii="宋体" w:eastAsia="宋体" w:hAnsi="宋体" w:hint="eastAsia"/>
          <w:sz w:val="30"/>
        </w:rPr>
        <w:t>二、基金托管协议的依据、目的和原则</w:t>
      </w:r>
      <w:bookmarkEnd w:id="9"/>
    </w:p>
    <w:p w14:paraId="045E9E2F" w14:textId="77777777" w:rsidR="004E1659" w:rsidRDefault="00F42610">
      <w:pPr>
        <w:adjustRightInd w:val="0"/>
        <w:snapToGrid w:val="0"/>
        <w:spacing w:line="360" w:lineRule="auto"/>
        <w:ind w:firstLineChars="200" w:firstLine="480"/>
        <w:rPr>
          <w:rFonts w:ascii="宋体" w:hAnsi="宋体"/>
          <w:sz w:val="24"/>
          <w:szCs w:val="30"/>
        </w:rPr>
      </w:pPr>
      <w:r>
        <w:rPr>
          <w:rFonts w:ascii="宋体" w:hAnsi="宋体" w:cs="Arial" w:hint="eastAsia"/>
          <w:sz w:val="24"/>
        </w:rPr>
        <w:t>（一）订立托管协议的依据</w:t>
      </w:r>
    </w:p>
    <w:p w14:paraId="3CE723A7" w14:textId="64C1D83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本协议依据《中华人民共和国证券投资基金法》（以下简称“《基金法》”）、《公开募集证券投资基金运作管理办法》（以下简称“《运作办法》”）、《公开募集证券投资基金销售机构监督管理办法》、《</w:t>
      </w:r>
      <w:r>
        <w:rPr>
          <w:rFonts w:ascii="宋体" w:hAnsi="宋体" w:hint="eastAsia"/>
          <w:bCs/>
          <w:sz w:val="24"/>
        </w:rPr>
        <w:t>公开募集</w:t>
      </w:r>
      <w:r>
        <w:rPr>
          <w:rFonts w:ascii="宋体" w:hAnsi="宋体" w:cs="Arial" w:hint="eastAsia"/>
          <w:sz w:val="24"/>
        </w:rPr>
        <w:t>证券投资基金信息披露管理办法》（以下简称“《信息披露办法》”）、《公开募集开放式证券投资基金流动性风险管理规定》（以下简称“《流动性风险管理规定》”）、《公开募集证券投资基金侧袋机制指引（试行）》等有关法律法规、《基金合同》及其</w:t>
      </w:r>
      <w:r>
        <w:rPr>
          <w:rFonts w:ascii="宋体" w:hAnsi="宋体" w:cs="Arial" w:hint="eastAsia"/>
          <w:sz w:val="24"/>
        </w:rPr>
        <w:lastRenderedPageBreak/>
        <w:t>他有关规定制订。</w:t>
      </w:r>
    </w:p>
    <w:p w14:paraId="0A4F8873"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（二）订立托管协议的目的</w:t>
      </w:r>
    </w:p>
    <w:p w14:paraId="283261E5" w14:textId="77777777" w:rsidR="004E1659" w:rsidRDefault="00F42610">
      <w:pPr>
        <w:adjustRightInd w:val="0"/>
        <w:snapToGrid w:val="0"/>
        <w:spacing w:line="360" w:lineRule="auto"/>
        <w:ind w:firstLineChars="200" w:firstLine="480"/>
        <w:rPr>
          <w:rFonts w:ascii="宋体" w:hAnsi="宋体"/>
          <w:sz w:val="24"/>
          <w:szCs w:val="30"/>
        </w:rPr>
      </w:pPr>
      <w:r>
        <w:rPr>
          <w:rFonts w:ascii="宋体"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2FE257EC"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（三）订立托管协议的原则</w:t>
      </w:r>
    </w:p>
    <w:p w14:paraId="1953C863"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基金管理人和基金托管人本着平等自愿、诚实信用、充分保护基金份额持有人合法权益的原则，经协商一致，签订本协议。</w:t>
      </w:r>
    </w:p>
    <w:p w14:paraId="3E3B34AA" w14:textId="77777777" w:rsidR="004E1659" w:rsidRDefault="004E1659">
      <w:pPr>
        <w:spacing w:line="360" w:lineRule="auto"/>
        <w:rPr>
          <w:rFonts w:ascii="宋体" w:hAnsi="宋体"/>
          <w:sz w:val="24"/>
        </w:rPr>
      </w:pPr>
    </w:p>
    <w:p w14:paraId="0060282A" w14:textId="77777777" w:rsidR="004E1659" w:rsidRDefault="00F42610">
      <w:pPr>
        <w:pStyle w:val="2"/>
        <w:spacing w:line="360" w:lineRule="auto"/>
        <w:jc w:val="center"/>
        <w:rPr>
          <w:rFonts w:ascii="宋体" w:eastAsia="宋体" w:hAnsi="宋体"/>
          <w:sz w:val="30"/>
          <w:szCs w:val="24"/>
        </w:rPr>
      </w:pPr>
      <w:bookmarkStart w:id="10" w:name="_Toc516758897"/>
      <w:r>
        <w:rPr>
          <w:rFonts w:ascii="宋体" w:eastAsia="宋体" w:hAnsi="宋体" w:hint="eastAsia"/>
          <w:sz w:val="30"/>
        </w:rPr>
        <w:t>三、基金托管人对基金管理人的业务监督和核查</w:t>
      </w:r>
      <w:bookmarkEnd w:id="10"/>
    </w:p>
    <w:p w14:paraId="03F194E6" w14:textId="77777777" w:rsidR="004E1659" w:rsidRDefault="00F42610">
      <w:pPr>
        <w:adjustRightInd w:val="0"/>
        <w:snapToGrid w:val="0"/>
        <w:spacing w:line="360" w:lineRule="auto"/>
        <w:ind w:firstLineChars="200" w:firstLine="480"/>
        <w:rPr>
          <w:rFonts w:ascii="宋体" w:hAnsi="宋体" w:cs="Arial"/>
          <w:bCs/>
          <w:sz w:val="24"/>
        </w:rPr>
      </w:pPr>
      <w:r>
        <w:rPr>
          <w:rFonts w:ascii="宋体" w:hAnsi="宋体" w:cs="Arial" w:hint="eastAsia"/>
          <w:bCs/>
          <w:sz w:val="24"/>
        </w:rPr>
        <w:t>（一）基金托管人根据有关法律法规的规定及《基金合同》的约定，对基金投资范围、投资对象进行监督。《基金合同》明确约定基金投资风格或证券选择标准的，基金管理人应按照基金托管人要求的格式，将拟投资的标的证券库提供给基金托管人，基金管理人可以根据实际情况的变化，对标的证券库予以更新和调整并及时书面通知基金托管人。基金托管人根据上述投资范围对基金实际投资是否符合《基金合同》关于证券选择标准的约定进行监督。</w:t>
      </w:r>
    </w:p>
    <w:p w14:paraId="65E9F387" w14:textId="77777777" w:rsidR="004E1659" w:rsidRDefault="00F42610">
      <w:pPr>
        <w:adjustRightInd w:val="0"/>
        <w:snapToGrid w:val="0"/>
        <w:spacing w:line="360" w:lineRule="auto"/>
        <w:ind w:firstLineChars="200" w:firstLine="480"/>
        <w:rPr>
          <w:rFonts w:ascii="宋体" w:hAnsi="宋体" w:cs="Arial"/>
          <w:bCs/>
          <w:sz w:val="24"/>
        </w:rPr>
      </w:pPr>
      <w:bookmarkStart w:id="11" w:name="_Hlk172127702"/>
      <w:bookmarkStart w:id="12" w:name="_Hlk83905076"/>
      <w:r>
        <w:rPr>
          <w:rFonts w:ascii="宋体" w:hAnsi="宋体" w:cs="Arial" w:hint="eastAsia"/>
          <w:bCs/>
          <w:sz w:val="24"/>
        </w:rPr>
        <w:t>本基金的投资范围包括国内依法发行上市的股票（包括主板股票、创业板股票、科创板股票、存托凭证及其他经中国证监会核准或注册上市的股票）、港股通标的股票、债券（包括国债、央行票据、金融债券、企业债券、公司债券、次级债券、地方政府债券、政府支持机构债、中期票据、可转换公司债券（含分离交易的可转换公司债券）、可交换债券、短期融资券、超短期融资券以及其他中国证监会允许投资的债券）、资产支持证券、债券回购、股指期货、股票期权、国债期货、银行存款（包括协议存款、定期存款及其他银行存款）、同业存单、现金以及法律法规或中国证监会允许基金投资的其他金融工具（但须符合中国证监会相关规定）。</w:t>
      </w:r>
    </w:p>
    <w:p w14:paraId="5B305E30" w14:textId="77777777" w:rsidR="004E1659" w:rsidRDefault="00F42610">
      <w:pPr>
        <w:adjustRightInd w:val="0"/>
        <w:snapToGrid w:val="0"/>
        <w:spacing w:line="360" w:lineRule="auto"/>
        <w:ind w:firstLineChars="200" w:firstLine="480"/>
        <w:rPr>
          <w:rFonts w:ascii="宋体" w:hAnsi="宋体" w:cs="Arial"/>
          <w:bCs/>
          <w:sz w:val="24"/>
        </w:rPr>
      </w:pPr>
      <w:r>
        <w:rPr>
          <w:rFonts w:ascii="宋体" w:hAnsi="宋体" w:cs="Arial" w:hint="eastAsia"/>
          <w:bCs/>
          <w:sz w:val="24"/>
        </w:rPr>
        <w:t>本基金可根据相关法律法规和基金合同的约定，参与融资业务。</w:t>
      </w:r>
    </w:p>
    <w:p w14:paraId="699A50D2" w14:textId="77777777" w:rsidR="004E1659" w:rsidRDefault="00F42610">
      <w:pPr>
        <w:adjustRightInd w:val="0"/>
        <w:snapToGrid w:val="0"/>
        <w:spacing w:line="360" w:lineRule="auto"/>
        <w:ind w:firstLineChars="200" w:firstLine="480"/>
        <w:rPr>
          <w:rFonts w:ascii="宋体" w:hAnsi="宋体" w:cs="Arial"/>
          <w:bCs/>
          <w:sz w:val="24"/>
        </w:rPr>
      </w:pPr>
      <w:r>
        <w:rPr>
          <w:rFonts w:ascii="宋体" w:hAnsi="宋体" w:cs="Arial" w:hint="eastAsia"/>
          <w:bCs/>
          <w:sz w:val="24"/>
        </w:rPr>
        <w:t>如法律法规或监管机构以后允许基金投资其他品种，基金管理人在履行适当程序后，可以将其纳入本基金的投资范围，其投资比例遵循届时有效的法律法规</w:t>
      </w:r>
      <w:r>
        <w:rPr>
          <w:rFonts w:ascii="宋体" w:hAnsi="宋体" w:cs="Arial" w:hint="eastAsia"/>
          <w:bCs/>
          <w:sz w:val="24"/>
        </w:rPr>
        <w:lastRenderedPageBreak/>
        <w:t>和相关规定。</w:t>
      </w:r>
    </w:p>
    <w:p w14:paraId="601B6C04" w14:textId="77777777" w:rsidR="004E1659" w:rsidRDefault="00F42610">
      <w:pPr>
        <w:adjustRightInd w:val="0"/>
        <w:snapToGrid w:val="0"/>
        <w:spacing w:line="360" w:lineRule="auto"/>
        <w:ind w:firstLineChars="200" w:firstLine="480"/>
        <w:rPr>
          <w:rFonts w:ascii="宋体" w:hAnsi="宋体" w:cs="Arial"/>
          <w:bCs/>
          <w:sz w:val="24"/>
        </w:rPr>
      </w:pPr>
      <w:r>
        <w:rPr>
          <w:rFonts w:ascii="宋体" w:hAnsi="宋体" w:cs="Arial" w:hint="eastAsia"/>
          <w:bCs/>
          <w:sz w:val="24"/>
        </w:rPr>
        <w:t>本基金的投资组合比例为：</w:t>
      </w:r>
      <w:bookmarkStart w:id="13" w:name="_Hlk156634662"/>
      <w:r>
        <w:rPr>
          <w:rFonts w:ascii="宋体" w:hAnsi="宋体" w:cs="Arial" w:hint="eastAsia"/>
          <w:bCs/>
          <w:sz w:val="24"/>
        </w:rPr>
        <w:t>股票资产占基金资产的比例为60%-95%（投资于港股通标的股票资产占股票资产的比例不超过50%）。</w:t>
      </w:r>
      <w:bookmarkEnd w:id="13"/>
      <w:r>
        <w:rPr>
          <w:rFonts w:ascii="宋体" w:hAnsi="宋体" w:cs="Arial" w:hint="eastAsia"/>
          <w:bCs/>
          <w:sz w:val="24"/>
        </w:rPr>
        <w:t>每个交易日日终在扣除股指期货合约、国债期货合约和股票期权合约需缴纳的交易保证金后，应保持不低于基金资产净值5%的现金或者到期日在一年以内的政府债券，其中，现金不包括结算备付金、存出保证金和应收申购款等。</w:t>
      </w:r>
    </w:p>
    <w:p w14:paraId="170BCC98" w14:textId="77777777" w:rsidR="004E1659" w:rsidRDefault="00F42610">
      <w:pPr>
        <w:adjustRightInd w:val="0"/>
        <w:snapToGrid w:val="0"/>
        <w:spacing w:line="360" w:lineRule="auto"/>
        <w:ind w:firstLineChars="200" w:firstLine="480"/>
        <w:rPr>
          <w:rFonts w:ascii="宋体" w:hAnsi="宋体" w:cs="Arial"/>
          <w:bCs/>
          <w:sz w:val="24"/>
        </w:rPr>
      </w:pPr>
      <w:r>
        <w:rPr>
          <w:rFonts w:ascii="宋体" w:hAnsi="宋体" w:cs="Arial" w:hint="eastAsia"/>
          <w:bCs/>
          <w:sz w:val="24"/>
        </w:rPr>
        <w:t>本基金将港股通标的股票投资的比例下限设为零，本基金可根据投资策略需要或不同配置地市场环境的变化，选择将部分基金资产投资于港股通标的股票或选择不将基金资产投资于港股通标的股票，基金资产并非必然投资港股通标的股票。</w:t>
      </w:r>
    </w:p>
    <w:p w14:paraId="3AB48F5A" w14:textId="77777777" w:rsidR="004E1659" w:rsidRDefault="00F42610">
      <w:pPr>
        <w:adjustRightInd w:val="0"/>
        <w:snapToGrid w:val="0"/>
        <w:spacing w:line="360" w:lineRule="auto"/>
        <w:ind w:firstLineChars="200" w:firstLine="480"/>
        <w:rPr>
          <w:rFonts w:ascii="宋体" w:hAnsi="宋体" w:cs="Arial"/>
          <w:bCs/>
          <w:sz w:val="24"/>
        </w:rPr>
      </w:pPr>
      <w:r>
        <w:rPr>
          <w:rFonts w:ascii="宋体" w:hAnsi="宋体" w:cs="Arial" w:hint="eastAsia"/>
          <w:bCs/>
          <w:sz w:val="24"/>
        </w:rPr>
        <w:t>如果法律法规或中国证监会变更相关投资品种的投资比例限制，基金管理人在履行适当程序后，可以调整上述投资品种的投资比例或按变更后的规定执行。</w:t>
      </w:r>
    </w:p>
    <w:p w14:paraId="3BEC4903"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（二）基金托管人根据有关法律法规的规定及《基金合同》的约定，对基金投资、融资比例进行监督。基金托管人按下述比例和调整期限进行监督：</w:t>
      </w:r>
    </w:p>
    <w:p w14:paraId="72B9BF58" w14:textId="7D3E9B25" w:rsidR="004E1659" w:rsidRDefault="00F42610">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（1）股票资产占基金资产的比例为60%–95%（投资于港股通标的股票资产占股票资产的比例不超过50%）；</w:t>
      </w:r>
    </w:p>
    <w:p w14:paraId="5AEE8934" w14:textId="77777777" w:rsidR="004E1659" w:rsidRDefault="00F42610">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每个交易日日终，在扣除股指期货合约、国债期货合约和股票期权合约需缴纳的交易保证金后，应当保持不低于基金资产净值5%的现金或者到期日在一年以内的政府债券，其中，现金不包括结算备付金、存出保证金和应收申购款等；</w:t>
      </w:r>
    </w:p>
    <w:p w14:paraId="0C128203" w14:textId="77777777" w:rsidR="004E1659" w:rsidRDefault="00F42610">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（3）本基金持有一家公司发行的证券（同一家公司在内地和香港同时上市的A+H股合计计算），其市值不超过基金资产净值的10%；</w:t>
      </w:r>
    </w:p>
    <w:p w14:paraId="3D1252B4" w14:textId="77777777" w:rsidR="004E1659" w:rsidRDefault="00F42610">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本基金管理人管理的且在本基金托管人处托管的全部基金持有一家公司发行的证券（同一家公司在内地和香港同时上市的A+H股合计计算），不超过该证券的10%，完全按照有关指数的构成比例进行证券投资的基金品种可以不受此条款规定的比例限制；</w:t>
      </w:r>
    </w:p>
    <w:p w14:paraId="645770EC" w14:textId="77777777" w:rsidR="004E1659" w:rsidRDefault="00F42610">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（5）本基金投资于同一原始权益人的各类资产支持证券的比例，不得超过基金资产净值的10%；</w:t>
      </w:r>
    </w:p>
    <w:p w14:paraId="0993EFCF" w14:textId="77777777" w:rsidR="004E1659" w:rsidRDefault="00F42610">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（6）本基金持有的全部资产支持证券，其市值不得超过基金资产净值的20%，中国证监会规定的特殊品种除外；</w:t>
      </w:r>
    </w:p>
    <w:p w14:paraId="0B6399D7" w14:textId="77777777" w:rsidR="004E1659" w:rsidRDefault="00F42610">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（7）本基金持有的同一（指同一信用级别）资产支持证券的比例，不得超过</w:t>
      </w:r>
      <w:r>
        <w:rPr>
          <w:rFonts w:ascii="宋体" w:hAnsi="宋体" w:hint="eastAsia"/>
          <w:bCs/>
          <w:sz w:val="24"/>
          <w:szCs w:val="24"/>
        </w:rPr>
        <w:lastRenderedPageBreak/>
        <w:t>该资产支持证券规模的10%；</w:t>
      </w:r>
    </w:p>
    <w:p w14:paraId="07118515" w14:textId="77777777" w:rsidR="004E1659" w:rsidRDefault="00F42610">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（8）本基金管理人管理的且在本基金托管人处托管的全部基金投资于同一原始权益人的各类资产支持证券，不得超过其各类资产支持证券合计规模的10%；</w:t>
      </w:r>
    </w:p>
    <w:p w14:paraId="7F2C544C" w14:textId="77777777" w:rsidR="004E1659" w:rsidRDefault="00F42610">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（9）本基金应投资于信用级别评级为BBB以上（含BBB）的资产支持证券。基金持有资产支持证券期间，如果其信用等级下降、不再符合投资标准，应在评级报告发布之日起3个月内予以全部卖出；</w:t>
      </w:r>
    </w:p>
    <w:p w14:paraId="62AAF2AD" w14:textId="77777777" w:rsidR="004E1659" w:rsidRDefault="00F42610">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（10）基金财产参与股票发行申购，本基金所申报的金额不超过本基金的总资产，本基金所申报的股票数量不超过拟发行股票公司本次发行股票的总量；</w:t>
      </w:r>
    </w:p>
    <w:p w14:paraId="532CB57B" w14:textId="77777777" w:rsidR="004E1659" w:rsidRDefault="00F42610">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（11）本基金的基金资产总值不超过基金资产净值的140%；</w:t>
      </w:r>
    </w:p>
    <w:p w14:paraId="753B1954" w14:textId="77777777" w:rsidR="004E1659" w:rsidRDefault="00F42610">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（12）本基金参与股指期货交易的，需遵守下列投资比例限制：</w:t>
      </w:r>
    </w:p>
    <w:p w14:paraId="7747B010" w14:textId="77777777" w:rsidR="004E1659" w:rsidRDefault="00F42610">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1）本基金在任何交易日日终，持有的买入股指期货合约价值，不得超过基金资产净值的10%；</w:t>
      </w:r>
    </w:p>
    <w:p w14:paraId="143A3C18" w14:textId="77777777" w:rsidR="004E1659" w:rsidRDefault="00F42610">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2）本基金在任何交易日日终，持有的卖出股指期货合约价值不得超过本基金持有的股票总市值的20%；</w:t>
      </w:r>
    </w:p>
    <w:p w14:paraId="192015F3" w14:textId="77777777" w:rsidR="004E1659" w:rsidRDefault="00F42610">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3）本基金所持有的股票市值和买入、卖出股指期货合约价值，合计（轧差计算）应当符合基金合同关于股票投资比例的有关约定；</w:t>
      </w:r>
    </w:p>
    <w:p w14:paraId="7EF6CBB6" w14:textId="77777777" w:rsidR="004E1659" w:rsidRDefault="00F42610">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4）本基金在任何交易日内交易（不包括平仓）的股指期货合约的成交金额不得超过上一交易日基金资产净值的20%；</w:t>
      </w:r>
    </w:p>
    <w:p w14:paraId="5CF20D69" w14:textId="77777777" w:rsidR="004E1659" w:rsidRDefault="00F42610">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3</w:t>
      </w:r>
      <w:r>
        <w:rPr>
          <w:rFonts w:ascii="宋体" w:hAnsi="宋体" w:hint="eastAsia"/>
          <w:bCs/>
          <w:sz w:val="24"/>
          <w:szCs w:val="24"/>
        </w:rPr>
        <w:t>）本基金参与国债期货交易的，需遵守下列投资比例限制：</w:t>
      </w:r>
    </w:p>
    <w:p w14:paraId="4CF95E91" w14:textId="77777777" w:rsidR="004E1659" w:rsidRDefault="00F42610">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1）本基金在任何交易日日终，持有的买入国债期货合约价值，不得超过基金资产净值的15%；</w:t>
      </w:r>
    </w:p>
    <w:p w14:paraId="15ADD052" w14:textId="77777777" w:rsidR="004E1659" w:rsidRDefault="00F42610">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2）本基金在任何交易日日终，持有的卖出国债期货合约价值不得超过基金持有的债券总市值的30%；</w:t>
      </w:r>
    </w:p>
    <w:p w14:paraId="481DA5FE" w14:textId="77777777" w:rsidR="004E1659" w:rsidRDefault="00F42610">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3）本基金在任何交易日内交易（不包括平仓）的国债期货合约的成交金额不得超过上一交易日基金资产净值的30%；</w:t>
      </w:r>
    </w:p>
    <w:p w14:paraId="348980D8" w14:textId="77777777" w:rsidR="004E1659" w:rsidRDefault="00F42610">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4</w:t>
      </w:r>
      <w:r>
        <w:rPr>
          <w:rFonts w:ascii="宋体" w:hAnsi="宋体" w:hint="eastAsia"/>
          <w:bCs/>
          <w:sz w:val="24"/>
          <w:szCs w:val="24"/>
        </w:rPr>
        <w:t>）本基金参与股指期货或国债期货交易的，在任何交易日日终，本基金持有的买入国债期货合约价值、买入股指期货合约价值与有价证券市值之和，不得超过基金资产净值的95%。其中，有价证券指股票、债券（不含到期日在一年以内的政府债券）、资产支持证券、买入返售金融资产（不含质押式回购）等；</w:t>
      </w:r>
    </w:p>
    <w:p w14:paraId="1A209EFC" w14:textId="77777777" w:rsidR="004E1659" w:rsidRDefault="00F42610">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5</w:t>
      </w:r>
      <w:r>
        <w:rPr>
          <w:rFonts w:ascii="宋体" w:hAnsi="宋体" w:hint="eastAsia"/>
          <w:bCs/>
          <w:sz w:val="24"/>
          <w:szCs w:val="24"/>
        </w:rPr>
        <w:t>）本基金参与股票期权交易的，需遵守下列投资比例限制：</w:t>
      </w:r>
    </w:p>
    <w:p w14:paraId="707FEC15" w14:textId="77777777" w:rsidR="004E1659" w:rsidRDefault="00F42610">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lastRenderedPageBreak/>
        <w:t>1）因未平仓的期权合约支付和收取的权利金总额不得超过基金资产净值的10%；</w:t>
      </w:r>
    </w:p>
    <w:p w14:paraId="2B29A8AF" w14:textId="7BBB1BB2" w:rsidR="004E1659" w:rsidRDefault="00F42610">
      <w:pPr>
        <w:adjustRightInd w:val="0"/>
        <w:snapToGrid w:val="0"/>
        <w:spacing w:line="360" w:lineRule="auto"/>
        <w:ind w:firstLineChars="200" w:firstLine="480"/>
        <w:rPr>
          <w:rFonts w:ascii="宋体" w:hAnsi="宋体"/>
          <w:bCs/>
          <w:sz w:val="24"/>
          <w:szCs w:val="24"/>
        </w:rPr>
      </w:pPr>
      <w:r>
        <w:rPr>
          <w:rFonts w:ascii="宋体" w:hAnsi="宋体"/>
          <w:bCs/>
          <w:sz w:val="24"/>
          <w:szCs w:val="24"/>
        </w:rPr>
        <w:t>2</w:t>
      </w:r>
      <w:r>
        <w:rPr>
          <w:rFonts w:ascii="宋体" w:hAnsi="宋体" w:hint="eastAsia"/>
          <w:bCs/>
          <w:sz w:val="24"/>
          <w:szCs w:val="24"/>
        </w:rPr>
        <w:t>）未平仓的期权合约面值不得超过基金资产净值的20%。其中，合约面值按照行权价乘以合约乘数计算；</w:t>
      </w:r>
    </w:p>
    <w:p w14:paraId="40F78D87" w14:textId="77777777" w:rsidR="004E1659" w:rsidRDefault="00F42610">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6</w:t>
      </w:r>
      <w:r>
        <w:rPr>
          <w:rFonts w:ascii="宋体" w:hAnsi="宋体" w:hint="eastAsia"/>
          <w:bCs/>
          <w:sz w:val="24"/>
          <w:szCs w:val="24"/>
        </w:rPr>
        <w:t>）本基金管理人管理的且在本基金托管人处托管的全部开放式基金（包括开放式基金以及处于开放期的定期开放基金）持有一家上市公司发行的可流通股票，不得超过该上市公司可流通股票的15%；本基金管理人管理的且在本基金托管人处托管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1D84DCA7" w14:textId="77777777" w:rsidR="004E1659" w:rsidRDefault="00F42610">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7</w:t>
      </w:r>
      <w:r>
        <w:rPr>
          <w:rFonts w:ascii="宋体" w:hAnsi="宋体" w:hint="eastAsia"/>
          <w:bCs/>
          <w:sz w:val="24"/>
          <w:szCs w:val="24"/>
        </w:rPr>
        <w:t>）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79114BC2" w14:textId="60EC5752" w:rsidR="004E1659" w:rsidRDefault="00F42610">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18</w:t>
      </w:r>
      <w:r>
        <w:rPr>
          <w:rFonts w:ascii="宋体" w:hAnsi="宋体" w:hint="eastAsia"/>
          <w:bCs/>
          <w:sz w:val="24"/>
          <w:szCs w:val="24"/>
        </w:rPr>
        <w:t>）本基金参与融资的，每个交易日日终，本基金持有的融资买入股票与其他有价证券市值之和，不得超过基金资产净值的95%；</w:t>
      </w:r>
    </w:p>
    <w:p w14:paraId="27943F79" w14:textId="2F0A23BA" w:rsidR="004E1659" w:rsidRDefault="00F42610">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19</w:t>
      </w:r>
      <w:r>
        <w:rPr>
          <w:rFonts w:ascii="宋体" w:hAnsi="宋体" w:hint="eastAsia"/>
          <w:bCs/>
          <w:sz w:val="24"/>
          <w:szCs w:val="24"/>
        </w:rPr>
        <w:t>）本基金投资存托凭证的比例限制依照境内上市交易的股票执行，与境内上市交易的股票合并计算；</w:t>
      </w:r>
    </w:p>
    <w:p w14:paraId="7D53D14E" w14:textId="3DC5A371" w:rsidR="004E1659" w:rsidRDefault="00F42610">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20</w:t>
      </w:r>
      <w:r>
        <w:rPr>
          <w:rFonts w:ascii="宋体" w:hAnsi="宋体" w:hint="eastAsia"/>
          <w:bCs/>
          <w:sz w:val="24"/>
          <w:szCs w:val="24"/>
        </w:rPr>
        <w:t>）法律法规及中国证监会规定的和《基金合同》约定的其他投资限制。</w:t>
      </w:r>
    </w:p>
    <w:p w14:paraId="1391A110" w14:textId="3E4753BC" w:rsidR="004E1659" w:rsidRDefault="00F42610">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除上述（2）、（9）、（1</w:t>
      </w:r>
      <w:r>
        <w:rPr>
          <w:rFonts w:ascii="宋体" w:hAnsi="宋体"/>
          <w:bCs/>
          <w:sz w:val="24"/>
          <w:szCs w:val="24"/>
        </w:rPr>
        <w:t>7</w:t>
      </w:r>
      <w:r>
        <w:rPr>
          <w:rFonts w:ascii="宋体" w:hAnsi="宋体" w:hint="eastAsia"/>
          <w:bCs/>
          <w:sz w:val="24"/>
          <w:szCs w:val="24"/>
        </w:rPr>
        <w:t>）项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14:paraId="54DCA2E0" w14:textId="77777777" w:rsidR="004E1659" w:rsidRDefault="00F42610">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本基金投资流通受限证券，基金管理人应根据中国证监会相关规定进行投资。基金管理人应制订严格的投资决策流程和风险控制制度，防范流动性风险、法律风险和操作风险等各种风险。</w:t>
      </w:r>
    </w:p>
    <w:p w14:paraId="2F6150D4" w14:textId="77777777" w:rsidR="004E1659" w:rsidRDefault="00F42610">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持有证券期间，如发生证券处于流通受限状态等非基金管理人原因导致基金投资比例不符合前述规定的，基金管理人应在上述情形消除后的10个交易日内调整完毕，但中国证监会规定的特殊情形除外。法律法规另有规定的，从其规定。</w:t>
      </w:r>
    </w:p>
    <w:p w14:paraId="4366AC9B" w14:textId="77777777" w:rsidR="004E1659" w:rsidRDefault="00F42610">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lastRenderedPageBreak/>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54F89D1C" w14:textId="51643467" w:rsidR="004E1659" w:rsidRDefault="00F42610">
      <w:pPr>
        <w:adjustRightInd w:val="0"/>
        <w:snapToGrid w:val="0"/>
        <w:spacing w:line="360" w:lineRule="auto"/>
        <w:ind w:firstLineChars="200" w:firstLine="480"/>
        <w:rPr>
          <w:rFonts w:ascii="宋体" w:hAnsi="宋体"/>
          <w:bCs/>
          <w:sz w:val="24"/>
          <w:szCs w:val="24"/>
        </w:rPr>
      </w:pPr>
      <w:bookmarkStart w:id="14" w:name="_Hlk156636097"/>
      <w:r>
        <w:rPr>
          <w:rFonts w:ascii="宋体" w:hAnsi="宋体" w:hint="eastAsia"/>
          <w:bCs/>
          <w:sz w:val="24"/>
          <w:szCs w:val="24"/>
        </w:rPr>
        <w:t>如果法律法规对上述投资组合比例限制进行变更的，基金管理人在履行适当程序后，可相应调整投资比例限制规定或按变更后的规定执行，不需经基金份额持有人大会审议。法律法规或监管部门取消上述限制，如适用于本基金，基金管理人在履行适当程序后，则本基金投资不再受相关限制。</w:t>
      </w:r>
      <w:bookmarkEnd w:id="14"/>
    </w:p>
    <w:bookmarkEnd w:id="11"/>
    <w:p w14:paraId="60B01D1A"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（三）基金托管人根据有关法律法规的规定及《基金合同》的约定，对本托管协议第十五条第（九）款基金投资禁止行为通过事后监督方式进行监督。</w:t>
      </w:r>
    </w:p>
    <w:p w14:paraId="5F5957CB" w14:textId="77777777" w:rsidR="004E1659" w:rsidRDefault="00F42610">
      <w:pPr>
        <w:adjustRightInd w:val="0"/>
        <w:snapToGrid w:val="0"/>
        <w:spacing w:line="360" w:lineRule="auto"/>
        <w:ind w:firstLineChars="200" w:firstLine="480"/>
        <w:rPr>
          <w:rFonts w:ascii="宋体" w:hAnsi="宋体"/>
          <w:bCs/>
          <w:sz w:val="24"/>
          <w:szCs w:val="24"/>
        </w:rPr>
      </w:pPr>
      <w:r>
        <w:rPr>
          <w:rFonts w:ascii="宋体"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履行信息披露义务。</w:t>
      </w:r>
      <w:r>
        <w:rPr>
          <w:rFonts w:ascii="宋体" w:hAnsi="宋体" w:hint="eastAsia"/>
          <w:bCs/>
          <w:sz w:val="24"/>
          <w:szCs w:val="24"/>
        </w:rPr>
        <w:t>重大关联交易应提交基金管理人董事会审议，并经过三分之二以上的独立董事通过。基金管理人董事会应至少每半年对关联交易事项进行审查。</w:t>
      </w:r>
    </w:p>
    <w:p w14:paraId="0189EF6D"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法律、行政法规或监管部门取消或变更上述限制，如适用于本基金，基金管理人在履行适当程序后，则本基金投资不再受相关限制或按变更后的规定执行。</w:t>
      </w:r>
    </w:p>
    <w:bookmarkEnd w:id="12"/>
    <w:p w14:paraId="23B2D28F"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（四）基金托管人根据有关法律法规的规定及《基金合同》的约定，对基金管理人投资流通受限证券进行监督。</w:t>
      </w:r>
    </w:p>
    <w:p w14:paraId="1E448701"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此处的流通受限证券与上文提及的流动性受限资产并不完全一致。基金管理人投资流通受限证券，应事先根据中国证监会相关规定，明确基金投资流通受限证券的比例，制订严格的投资决策流程和风险控制制度，防范流动性风险、法律风险和操作风险等各种风险。</w:t>
      </w:r>
    </w:p>
    <w:p w14:paraId="45FBE22E" w14:textId="47C8CC55"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1.本基金</w:t>
      </w:r>
      <w:r>
        <w:rPr>
          <w:rFonts w:ascii="宋体" w:hAnsi="宋体"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6B20D25E"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本基金投资的流通受限证券限于可由中国证券登记结算有限责任公司或中央</w:t>
      </w:r>
      <w:r>
        <w:rPr>
          <w:rFonts w:ascii="宋体" w:hAnsi="宋体" w:cs="Arial" w:hint="eastAsia"/>
          <w:sz w:val="24"/>
        </w:rPr>
        <w:lastRenderedPageBreak/>
        <w:t>国债登记结算有限责任公司负责登记和存管，并可在证券交易所或全国银行间债券市场交易的证券。</w:t>
      </w:r>
    </w:p>
    <w:p w14:paraId="65334599"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7B01FCAF"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本基金投资流通受限证券，不得预付任何形式的保证金。若有最新法律法规、监管政策变更规定的，根据最新法律法规、监管政策执行。</w:t>
      </w:r>
    </w:p>
    <w:p w14:paraId="1647BA51"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2.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p>
    <w:p w14:paraId="58C368E6"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14:paraId="130D753F"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0657C01E"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（1）中国证监会批准发行非公开发行股票的批准文件。</w:t>
      </w:r>
    </w:p>
    <w:p w14:paraId="6F71E449"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（2）非公开发行股票有关发行数量、发行价格、锁定期等发行资料。</w:t>
      </w:r>
    </w:p>
    <w:p w14:paraId="7F4FB6DB"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w:t>
      </w:r>
      <w:r>
        <w:rPr>
          <w:rFonts w:ascii="宋体" w:hAnsi="宋体" w:cs="Arial"/>
          <w:sz w:val="24"/>
        </w:rPr>
        <w:t>3</w:t>
      </w:r>
      <w:r>
        <w:rPr>
          <w:rFonts w:ascii="宋体" w:hAnsi="宋体" w:cs="Arial" w:hint="eastAsia"/>
          <w:sz w:val="24"/>
        </w:rPr>
        <w:t>）基金拟认购的数量、价格、总成本、账面价值。</w:t>
      </w:r>
    </w:p>
    <w:p w14:paraId="3026F6F5"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4.基金管理人应在本基金投资非公开发行股票后两个交易日内，在中国证监会规定媒介披露所投资非公开发行股票的名称、数量、总成本、账面价值，以及总成本和账面价值占基金资产净值的比例、锁定期等信息。</w:t>
      </w:r>
    </w:p>
    <w:p w14:paraId="61DCD12B" w14:textId="7D53AFA4"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lastRenderedPageBreak/>
        <w:t>本基金有关投资流通受限证券比例如违反有关限制规定，在合理期限内未能进行及时调整，基金管理人应按照《信息披露办法》的有关规</w:t>
      </w:r>
      <w:r>
        <w:rPr>
          <w:rFonts w:ascii="宋体" w:hAnsi="宋体" w:hint="eastAsia"/>
          <w:sz w:val="24"/>
        </w:rPr>
        <w:t>定</w:t>
      </w:r>
      <w:r>
        <w:rPr>
          <w:rFonts w:ascii="宋体" w:hAnsi="宋体" w:cs="Arial" w:hint="eastAsia"/>
          <w:sz w:val="24"/>
        </w:rPr>
        <w:t>编制临时报告书，予以公告。</w:t>
      </w:r>
    </w:p>
    <w:p w14:paraId="6F51595A"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sz w:val="24"/>
        </w:rPr>
        <w:t>5</w:t>
      </w:r>
      <w:r>
        <w:rPr>
          <w:rFonts w:ascii="宋体" w:hAnsi="宋体" w:cs="Arial" w:hint="eastAsia"/>
          <w:sz w:val="24"/>
        </w:rPr>
        <w:t>.相关法律法规对基金投资流通受限证券有新规定的，从其规定。</w:t>
      </w:r>
    </w:p>
    <w:p w14:paraId="1EDDBFC4"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五）基金托管人根据有关法律法规的规定及《基金合同》的约定，对基金资产净值计算、各类基金份额净值及各类基金份额累计净值计算、应收资金到账、基金费用开支及收入确定、基金收益分配、相关信息披露、基金宣传推介材料中登载基金业绩表现数据等进行监督和核查。</w:t>
      </w:r>
    </w:p>
    <w:p w14:paraId="3C129599"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六）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55329DEA"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七）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7D25C6F1"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（八）若基金托管人发现基金管理人依据交易程序已经生效的指令违反法律、行政法规和其他有关规定，或者违反《基金合同》约定的，应当及时通知基金管理人，由此造成的损失由基金管理人承担。</w:t>
      </w:r>
    </w:p>
    <w:p w14:paraId="2D4E053C" w14:textId="77777777" w:rsidR="004E1659" w:rsidRDefault="00F42610">
      <w:pPr>
        <w:spacing w:line="360" w:lineRule="auto"/>
        <w:ind w:firstLineChars="200" w:firstLine="480"/>
        <w:rPr>
          <w:rFonts w:ascii="宋体" w:hAnsi="宋体" w:cs="Arial"/>
          <w:sz w:val="24"/>
        </w:rPr>
      </w:pPr>
      <w:r>
        <w:rPr>
          <w:rFonts w:ascii="宋体" w:hAnsi="宋体" w:cs="Arial" w:hint="eastAsia"/>
          <w:sz w:val="24"/>
        </w:rPr>
        <w:t>（九）基金托管人发现基金管理人有重大违规行为，应及时报告中国证监会，同时通知基金管理人限期纠正，并将纠正结果报告中国证监会。基金管理人无正当理由，拒绝、阻挠基金托管人根据本托管协议规定行使监督权，或采取拖延、欺诈等手段妨碍基金托管人进行有效监督，情节严重或经基金托管人提出警告仍不改正的，基金托管人应报告中国证监会。</w:t>
      </w:r>
    </w:p>
    <w:p w14:paraId="252BA80A" w14:textId="77777777" w:rsidR="004E1659" w:rsidRDefault="004E1659">
      <w:pPr>
        <w:spacing w:line="360" w:lineRule="auto"/>
        <w:ind w:firstLineChars="200" w:firstLine="480"/>
        <w:rPr>
          <w:rFonts w:ascii="宋体" w:hAnsi="宋体"/>
          <w:sz w:val="24"/>
        </w:rPr>
      </w:pPr>
    </w:p>
    <w:p w14:paraId="16DA47ED" w14:textId="77777777" w:rsidR="004E1659" w:rsidRDefault="00F42610">
      <w:pPr>
        <w:pStyle w:val="2"/>
        <w:spacing w:line="360" w:lineRule="auto"/>
        <w:jc w:val="center"/>
        <w:rPr>
          <w:rFonts w:ascii="宋体" w:eastAsia="宋体" w:hAnsi="宋体"/>
          <w:sz w:val="30"/>
        </w:rPr>
      </w:pPr>
      <w:bookmarkStart w:id="15" w:name="_Toc108512358"/>
      <w:bookmarkStart w:id="16" w:name="_Toc118774803"/>
      <w:bookmarkStart w:id="17" w:name="_Toc89163368"/>
      <w:bookmarkStart w:id="18" w:name="_Toc110765660"/>
      <w:bookmarkStart w:id="19" w:name="_Toc119402710"/>
      <w:bookmarkStart w:id="20" w:name="_Toc86649722"/>
      <w:bookmarkStart w:id="21" w:name="_Toc110761796"/>
      <w:bookmarkStart w:id="22" w:name="_Toc120435783"/>
      <w:bookmarkStart w:id="23" w:name="_Toc516758898"/>
      <w:bookmarkStart w:id="24" w:name="_Toc86727355"/>
      <w:bookmarkStart w:id="25" w:name="_Toc86223242"/>
      <w:bookmarkStart w:id="26" w:name="_Toc86225291"/>
      <w:bookmarkStart w:id="27" w:name="_Toc86726439"/>
      <w:bookmarkStart w:id="28" w:name="_Toc86737929"/>
      <w:bookmarkStart w:id="29" w:name="_Toc118212950"/>
      <w:bookmarkStart w:id="30" w:name="_Toc110830492"/>
      <w:bookmarkStart w:id="31" w:name="_Toc118972648"/>
      <w:r>
        <w:rPr>
          <w:rFonts w:ascii="宋体" w:eastAsia="宋体" w:hAnsi="宋体" w:hint="eastAsia"/>
          <w:sz w:val="30"/>
        </w:rPr>
        <w:lastRenderedPageBreak/>
        <w:t>四、基金管理人对基金托管人的业务核查</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4F05FCBA" w14:textId="77777777" w:rsidR="004E1659" w:rsidRDefault="00F42610">
      <w:pPr>
        <w:adjustRightInd w:val="0"/>
        <w:snapToGrid w:val="0"/>
        <w:spacing w:line="360" w:lineRule="auto"/>
        <w:ind w:firstLine="480"/>
        <w:rPr>
          <w:rFonts w:ascii="宋体" w:hAnsi="宋体" w:cs="Arial"/>
          <w:sz w:val="24"/>
        </w:rPr>
      </w:pPr>
      <w:r>
        <w:rPr>
          <w:rFonts w:ascii="宋体" w:hAnsi="宋体" w:cs="Arial" w:hint="eastAsia"/>
          <w:sz w:val="24"/>
        </w:rPr>
        <w:t>（一）基金管理人对基金托管人履行托管职责情况进行核查，核查事项包括基金托管人安全保管基金财产、开设基金财产的资金账户和证券账户等投资所需账户、复核基金管理人计算的基金资产净值、各类基金份额累计净值和各类基金份额净值、根据基金管理人指令办理清算交收、相关信息披露和监督基金投资运作等行为。</w:t>
      </w:r>
    </w:p>
    <w:p w14:paraId="33BD5D2A" w14:textId="77777777" w:rsidR="004E1659" w:rsidRDefault="00F42610">
      <w:pPr>
        <w:adjustRightInd w:val="0"/>
        <w:snapToGrid w:val="0"/>
        <w:spacing w:line="360" w:lineRule="auto"/>
        <w:ind w:firstLine="480"/>
        <w:rPr>
          <w:rFonts w:ascii="宋体" w:hAnsi="宋体" w:cs="Arial"/>
          <w:sz w:val="24"/>
        </w:rPr>
      </w:pPr>
      <w:r>
        <w:rPr>
          <w:rFonts w:ascii="宋体"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02ABD5D3" w14:textId="77777777" w:rsidR="004E1659" w:rsidRDefault="00F42610">
      <w:pPr>
        <w:adjustRightInd w:val="0"/>
        <w:snapToGrid w:val="0"/>
        <w:spacing w:line="360" w:lineRule="auto"/>
        <w:ind w:firstLine="480"/>
        <w:rPr>
          <w:rFonts w:ascii="宋体" w:hAnsi="宋体" w:cs="Arial"/>
          <w:sz w:val="24"/>
        </w:rPr>
      </w:pPr>
      <w:r>
        <w:rPr>
          <w:rFonts w:ascii="宋体" w:hAnsi="宋体" w:cs="Arial" w:hint="eastAsia"/>
          <w:sz w:val="24"/>
        </w:rPr>
        <w:t>（三）基金管理人发现基金托管人有重大违规行为，应及时报告中国证监会，同时通知基金托管人限期纠正，并将纠正结果报告中国证监会。基金托管人无正当理由，拒绝、阻挠基金管理人根据本协议规定行使监督权，或采取拖延、欺诈等手段妨碍基金管理人进行有效监督，情节严重或经基金管理人提出警告仍不改正的，基金管理人应报告中国证监会。</w:t>
      </w:r>
    </w:p>
    <w:p w14:paraId="1536B0A9" w14:textId="77777777" w:rsidR="004E1659" w:rsidRDefault="004E1659">
      <w:pPr>
        <w:spacing w:line="360" w:lineRule="auto"/>
        <w:rPr>
          <w:rFonts w:ascii="宋体" w:hAnsi="宋体"/>
          <w:sz w:val="24"/>
        </w:rPr>
      </w:pPr>
    </w:p>
    <w:p w14:paraId="6E23EEED" w14:textId="77777777" w:rsidR="004E1659" w:rsidRDefault="00F42610">
      <w:pPr>
        <w:pStyle w:val="2"/>
        <w:spacing w:line="360" w:lineRule="auto"/>
        <w:jc w:val="center"/>
        <w:rPr>
          <w:rFonts w:ascii="宋体" w:eastAsia="宋体" w:hAnsi="宋体"/>
          <w:sz w:val="30"/>
        </w:rPr>
      </w:pPr>
      <w:bookmarkStart w:id="32" w:name="_Toc84234388"/>
      <w:bookmarkStart w:id="33" w:name="_Toc86223243"/>
      <w:bookmarkStart w:id="34" w:name="_Toc110761797"/>
      <w:bookmarkStart w:id="35" w:name="_Toc119402711"/>
      <w:bookmarkStart w:id="36" w:name="_Toc516758899"/>
      <w:bookmarkStart w:id="37" w:name="_Toc110765661"/>
      <w:bookmarkStart w:id="38" w:name="_Toc86225292"/>
      <w:bookmarkStart w:id="39" w:name="_Toc86649723"/>
      <w:bookmarkStart w:id="40" w:name="_Toc86204789"/>
      <w:bookmarkStart w:id="41" w:name="_Toc86737930"/>
      <w:bookmarkStart w:id="42" w:name="_Toc86727356"/>
      <w:bookmarkStart w:id="43" w:name="_Toc86726440"/>
      <w:bookmarkStart w:id="44" w:name="_Toc84133786"/>
      <w:bookmarkStart w:id="45" w:name="_Toc118774804"/>
      <w:bookmarkStart w:id="46" w:name="_Toc118212951"/>
      <w:bookmarkStart w:id="47" w:name="_Toc110830493"/>
      <w:bookmarkStart w:id="48" w:name="_Toc89163369"/>
      <w:bookmarkStart w:id="49" w:name="_Toc118972649"/>
      <w:bookmarkStart w:id="50" w:name="_Toc84234435"/>
      <w:bookmarkStart w:id="51" w:name="_Toc108512359"/>
      <w:bookmarkStart w:id="52" w:name="_Toc120435784"/>
      <w:r>
        <w:rPr>
          <w:rFonts w:ascii="宋体" w:eastAsia="宋体" w:hAnsi="宋体" w:hint="eastAsia"/>
          <w:sz w:val="30"/>
        </w:rPr>
        <w:t>五、基金财产的保管</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7391FF64" w14:textId="77777777" w:rsidR="004E1659" w:rsidRDefault="00F42610">
      <w:pPr>
        <w:adjustRightInd w:val="0"/>
        <w:snapToGrid w:val="0"/>
        <w:spacing w:line="360" w:lineRule="auto"/>
        <w:ind w:firstLine="480"/>
        <w:rPr>
          <w:rFonts w:ascii="宋体" w:hAnsi="宋体" w:cs="Arial"/>
          <w:sz w:val="24"/>
        </w:rPr>
      </w:pPr>
      <w:r>
        <w:rPr>
          <w:rFonts w:ascii="宋体" w:hAnsi="宋体" w:cs="Arial" w:hint="eastAsia"/>
          <w:sz w:val="24"/>
        </w:rPr>
        <w:t>（一）基金财产保管的原则</w:t>
      </w:r>
    </w:p>
    <w:p w14:paraId="42FFA4ED" w14:textId="77777777" w:rsidR="004E1659" w:rsidRDefault="00F42610">
      <w:pPr>
        <w:adjustRightInd w:val="0"/>
        <w:snapToGrid w:val="0"/>
        <w:spacing w:line="360" w:lineRule="auto"/>
        <w:ind w:firstLine="480"/>
        <w:rPr>
          <w:rFonts w:ascii="宋体" w:hAnsi="宋体" w:cs="Arial"/>
          <w:sz w:val="24"/>
        </w:rPr>
      </w:pPr>
      <w:r>
        <w:rPr>
          <w:rFonts w:ascii="宋体" w:hAnsi="宋体" w:cs="Arial" w:hint="eastAsia"/>
          <w:sz w:val="24"/>
        </w:rPr>
        <w:t>1.基金财产应独立于基金管理人、基金托管人的固有财产。</w:t>
      </w:r>
    </w:p>
    <w:p w14:paraId="6466ECD7" w14:textId="77777777" w:rsidR="004E1659" w:rsidRDefault="00F42610">
      <w:pPr>
        <w:adjustRightInd w:val="0"/>
        <w:snapToGrid w:val="0"/>
        <w:spacing w:line="360" w:lineRule="auto"/>
        <w:ind w:firstLine="480"/>
        <w:rPr>
          <w:rFonts w:ascii="宋体" w:hAnsi="宋体" w:cs="Arial"/>
          <w:sz w:val="24"/>
        </w:rPr>
      </w:pPr>
      <w:r>
        <w:rPr>
          <w:rFonts w:ascii="宋体" w:hAnsi="宋体" w:cs="Arial" w:hint="eastAsia"/>
          <w:sz w:val="24"/>
        </w:rPr>
        <w:t>2.基金托管人应安全保管基金财产。</w:t>
      </w:r>
    </w:p>
    <w:p w14:paraId="5B98DEA7" w14:textId="77777777" w:rsidR="004E1659" w:rsidRDefault="00F42610">
      <w:pPr>
        <w:adjustRightInd w:val="0"/>
        <w:snapToGrid w:val="0"/>
        <w:spacing w:line="360" w:lineRule="auto"/>
        <w:ind w:firstLine="480"/>
        <w:rPr>
          <w:rFonts w:ascii="宋体" w:hAnsi="宋体" w:cs="Arial"/>
          <w:sz w:val="24"/>
        </w:rPr>
      </w:pPr>
      <w:r>
        <w:rPr>
          <w:rFonts w:ascii="宋体" w:hAnsi="宋体" w:cs="Arial" w:hint="eastAsia"/>
          <w:sz w:val="24"/>
        </w:rPr>
        <w:t>3.基金托管人按照规定开设基金财产的资金账户和证券账户等</w:t>
      </w:r>
      <w:r>
        <w:rPr>
          <w:rFonts w:ascii="宋体" w:hAnsi="宋体" w:cs="Arial"/>
          <w:sz w:val="24"/>
        </w:rPr>
        <w:t>投资所需账户</w:t>
      </w:r>
      <w:r>
        <w:rPr>
          <w:rFonts w:ascii="宋体" w:hAnsi="宋体" w:cs="Arial" w:hint="eastAsia"/>
          <w:sz w:val="24"/>
        </w:rPr>
        <w:t>。</w:t>
      </w:r>
    </w:p>
    <w:p w14:paraId="12A291C0" w14:textId="77777777" w:rsidR="004E1659" w:rsidRDefault="00F42610">
      <w:pPr>
        <w:adjustRightInd w:val="0"/>
        <w:snapToGrid w:val="0"/>
        <w:spacing w:line="360" w:lineRule="auto"/>
        <w:ind w:firstLine="480"/>
        <w:rPr>
          <w:rFonts w:ascii="宋体" w:hAnsi="宋体" w:cs="Arial"/>
          <w:sz w:val="24"/>
        </w:rPr>
      </w:pPr>
      <w:r>
        <w:rPr>
          <w:rFonts w:ascii="宋体" w:hAnsi="宋体" w:cs="Arial" w:hint="eastAsia"/>
          <w:sz w:val="24"/>
        </w:rPr>
        <w:t>4.基金托管人对所托管的不同基金财产分别设置账户，分账管理，独立核算，</w:t>
      </w:r>
      <w:r>
        <w:rPr>
          <w:rFonts w:ascii="宋体" w:hAnsi="宋体" w:cs="Arial" w:hint="eastAsia"/>
          <w:sz w:val="24"/>
        </w:rPr>
        <w:lastRenderedPageBreak/>
        <w:t>确保基金财产的完整与独立。</w:t>
      </w:r>
    </w:p>
    <w:p w14:paraId="01BE2781" w14:textId="77777777" w:rsidR="004E1659" w:rsidRDefault="00F42610">
      <w:pPr>
        <w:adjustRightInd w:val="0"/>
        <w:snapToGrid w:val="0"/>
        <w:spacing w:line="360" w:lineRule="auto"/>
        <w:ind w:firstLine="480"/>
        <w:rPr>
          <w:rFonts w:ascii="宋体" w:hAnsi="宋体" w:cs="Arial"/>
          <w:sz w:val="24"/>
        </w:rPr>
      </w:pPr>
      <w:r>
        <w:rPr>
          <w:rFonts w:ascii="宋体" w:hAnsi="宋体" w:cs="Arial" w:hint="eastAsia"/>
          <w:sz w:val="24"/>
        </w:rPr>
        <w:t>5.基金托管人按照《基金合同》和本协议的约定保管基金财产，如有特殊情况双方可另行协商解决。基金</w:t>
      </w:r>
      <w:r>
        <w:rPr>
          <w:rFonts w:ascii="宋体" w:hAnsi="宋体" w:hint="eastAsia"/>
          <w:sz w:val="24"/>
        </w:rPr>
        <w:t>托管人未经基金管理人的指令，不得自行运用、处分、分配本基金的任何资产（不包含基金托管人依据中国证券登记结算有限责任公司结算数据完成场内交易交收、开户银行或交易/登记结算机构扣收交易费、结算费和账户维护费等费用）。</w:t>
      </w:r>
    </w:p>
    <w:p w14:paraId="76FE2E8A" w14:textId="77777777" w:rsidR="004E1659" w:rsidRDefault="00F42610">
      <w:pPr>
        <w:adjustRightInd w:val="0"/>
        <w:snapToGrid w:val="0"/>
        <w:spacing w:line="360" w:lineRule="auto"/>
        <w:ind w:firstLine="480"/>
        <w:rPr>
          <w:rFonts w:ascii="宋体" w:hAnsi="宋体" w:cs="Arial"/>
          <w:sz w:val="24"/>
        </w:rPr>
      </w:pPr>
      <w:r>
        <w:rPr>
          <w:rFonts w:ascii="宋体" w:hAnsi="宋体" w:cs="Arial" w:hint="eastAsia"/>
          <w:sz w:val="24"/>
        </w:rPr>
        <w:t>6.对于因为基金投资产生的应收资产，应由基金管理人负责与有关当事人确定到账日期并通知基金托管人，到账日基金财产没有到达基金账户的，基金托管人应及时通知并配合基金管理人采取措施进行催收。由此给基金财产造成损失的，基金管理人应负责向有关当事人追偿基金财产的损失，基金托管人对基金管理人的追偿行为应予以必要的协助与配合，基金托管人对此不承担任何责任。</w:t>
      </w:r>
    </w:p>
    <w:p w14:paraId="104C6A8F" w14:textId="77777777" w:rsidR="004E1659" w:rsidRDefault="00F42610">
      <w:pPr>
        <w:adjustRightInd w:val="0"/>
        <w:snapToGrid w:val="0"/>
        <w:spacing w:line="360" w:lineRule="auto"/>
        <w:ind w:firstLine="480"/>
        <w:rPr>
          <w:rFonts w:ascii="宋体" w:hAnsi="宋体" w:cs="Arial"/>
          <w:sz w:val="24"/>
        </w:rPr>
      </w:pPr>
      <w:r>
        <w:rPr>
          <w:rFonts w:ascii="宋体" w:hAnsi="宋体" w:cs="Arial" w:hint="eastAsia"/>
          <w:sz w:val="24"/>
        </w:rPr>
        <w:t>7.除依据法律法规和《基金合同》的规定外，基金托管人不得委托第三人托管基金财产。</w:t>
      </w:r>
    </w:p>
    <w:p w14:paraId="5EA0B542" w14:textId="77777777" w:rsidR="004E1659" w:rsidRDefault="00F42610">
      <w:pPr>
        <w:adjustRightInd w:val="0"/>
        <w:snapToGrid w:val="0"/>
        <w:spacing w:line="360" w:lineRule="auto"/>
        <w:ind w:firstLine="480"/>
        <w:rPr>
          <w:rFonts w:ascii="宋体" w:hAnsi="宋体" w:cs="Arial"/>
          <w:sz w:val="24"/>
        </w:rPr>
      </w:pPr>
      <w:r>
        <w:rPr>
          <w:rFonts w:ascii="宋体" w:hAnsi="宋体" w:cs="Arial" w:hint="eastAsia"/>
          <w:sz w:val="24"/>
        </w:rPr>
        <w:t>（二）基金募集期间及募集资金的验资</w:t>
      </w:r>
    </w:p>
    <w:p w14:paraId="56567F7D" w14:textId="4D7EC1E6" w:rsidR="004E1659" w:rsidRDefault="00F42610">
      <w:pPr>
        <w:adjustRightInd w:val="0"/>
        <w:snapToGrid w:val="0"/>
        <w:spacing w:line="360" w:lineRule="auto"/>
        <w:ind w:firstLine="480"/>
        <w:rPr>
          <w:rFonts w:ascii="宋体" w:hAnsi="宋体" w:cs="Arial"/>
          <w:sz w:val="24"/>
        </w:rPr>
      </w:pPr>
      <w:r>
        <w:rPr>
          <w:rFonts w:ascii="宋体" w:hAnsi="宋体" w:cs="Arial" w:hint="eastAsia"/>
          <w:sz w:val="24"/>
        </w:rPr>
        <w:t>1.基金募集期间募集的资金应存于基金管理人在有托管资格的商业银行开立“基金募集专户”。该账户由基金管理人开立并管理。</w:t>
      </w:r>
    </w:p>
    <w:p w14:paraId="0EC724FE" w14:textId="77777777" w:rsidR="004E1659" w:rsidRDefault="00F42610">
      <w:pPr>
        <w:adjustRightInd w:val="0"/>
        <w:snapToGrid w:val="0"/>
        <w:spacing w:line="360" w:lineRule="auto"/>
        <w:ind w:firstLine="480"/>
        <w:rPr>
          <w:rFonts w:ascii="宋体" w:hAnsi="宋体" w:cs="Arial"/>
          <w:sz w:val="24"/>
        </w:rPr>
      </w:pPr>
      <w:r>
        <w:rPr>
          <w:rFonts w:ascii="宋体" w:hAnsi="宋体" w:cs="Arial"/>
          <w:sz w:val="24"/>
        </w:rPr>
        <w:t>2.基金募集期满或基金停止募集时，</w:t>
      </w:r>
      <w:r>
        <w:rPr>
          <w:rFonts w:ascii="宋体" w:hAnsi="宋体" w:cs="Arial" w:hint="eastAsia"/>
          <w:sz w:val="24"/>
        </w:rPr>
        <w:t>募集的基金份额总额、基金募集金额、基金份额持有人人数符合《基金法》、《运作办法》等有关规定</w:t>
      </w:r>
      <w:r>
        <w:rPr>
          <w:rFonts w:ascii="宋体" w:hAnsi="宋体" w:cs="Arial"/>
          <w:sz w:val="24"/>
        </w:rPr>
        <w:t>后，基金管理人应</w:t>
      </w:r>
      <w:r>
        <w:rPr>
          <w:rFonts w:ascii="宋体" w:hAnsi="宋体" w:cs="Arial" w:hint="eastAsia"/>
          <w:sz w:val="24"/>
        </w:rPr>
        <w:t>将属于基金财产的全部资金划入基金托管人开立的基金托管资金账户，同时在规定时间内，聘请符合《中华人民共和国证券法》规定的会计师事务所进行验资，出具验资报告。出具的验资报告由参加验资的</w:t>
      </w:r>
      <w:r>
        <w:rPr>
          <w:rFonts w:ascii="宋体" w:hAnsi="宋体" w:cs="Arial"/>
          <w:sz w:val="24"/>
        </w:rPr>
        <w:t>2名或2名以上中国注册会计师签字方为有效。</w:t>
      </w:r>
    </w:p>
    <w:p w14:paraId="08E2CF83" w14:textId="77777777" w:rsidR="004E1659" w:rsidRDefault="00F42610">
      <w:pPr>
        <w:adjustRightInd w:val="0"/>
        <w:snapToGrid w:val="0"/>
        <w:spacing w:line="360" w:lineRule="auto"/>
        <w:ind w:firstLine="480"/>
        <w:rPr>
          <w:rFonts w:ascii="宋体" w:hAnsi="宋体" w:cs="Arial"/>
          <w:sz w:val="24"/>
        </w:rPr>
      </w:pPr>
      <w:r>
        <w:rPr>
          <w:rFonts w:ascii="宋体" w:hAnsi="宋体" w:cs="Arial" w:hint="eastAsia"/>
          <w:sz w:val="24"/>
        </w:rPr>
        <w:t>3.若基金募集期限届满，未能达到《基金合同》生效的条件，由基金管理人按规定办理退款等事宜，基金托管人应予以必要的协助与配合。</w:t>
      </w:r>
    </w:p>
    <w:p w14:paraId="003F80A7" w14:textId="77777777" w:rsidR="004E1659" w:rsidRDefault="00F42610">
      <w:pPr>
        <w:adjustRightInd w:val="0"/>
        <w:snapToGrid w:val="0"/>
        <w:spacing w:line="360" w:lineRule="auto"/>
        <w:ind w:firstLine="480"/>
        <w:rPr>
          <w:rFonts w:ascii="宋体" w:hAnsi="宋体" w:cs="Arial"/>
          <w:sz w:val="24"/>
        </w:rPr>
      </w:pPr>
      <w:r>
        <w:rPr>
          <w:rFonts w:ascii="宋体" w:hAnsi="宋体" w:cs="Arial" w:hint="eastAsia"/>
          <w:sz w:val="24"/>
        </w:rPr>
        <w:t>（三）基金托管资金账户的开立和管理</w:t>
      </w:r>
    </w:p>
    <w:p w14:paraId="1F3732A7" w14:textId="77777777" w:rsidR="004E1659" w:rsidRDefault="00F42610">
      <w:pPr>
        <w:adjustRightInd w:val="0"/>
        <w:snapToGrid w:val="0"/>
        <w:spacing w:line="360" w:lineRule="auto"/>
        <w:ind w:firstLine="480"/>
        <w:rPr>
          <w:rFonts w:ascii="宋体" w:hAnsi="宋体" w:cs="Arial"/>
          <w:sz w:val="24"/>
        </w:rPr>
      </w:pPr>
      <w:r>
        <w:rPr>
          <w:rFonts w:ascii="宋体" w:hAnsi="宋体" w:cs="Arial" w:hint="eastAsia"/>
          <w:sz w:val="24"/>
        </w:rPr>
        <w:t>1.基金托管人应以本基金的名义在其营业机构开立基金的托管资金账户，并根据基金管理人合法合规的指令办理资金收付。本基金的银行预留印鉴由基金托管人保管和使用。</w:t>
      </w:r>
    </w:p>
    <w:p w14:paraId="239EFC0D" w14:textId="77777777" w:rsidR="004E1659" w:rsidRDefault="00F42610">
      <w:pPr>
        <w:adjustRightInd w:val="0"/>
        <w:snapToGrid w:val="0"/>
        <w:spacing w:line="360" w:lineRule="auto"/>
        <w:ind w:firstLine="480"/>
        <w:rPr>
          <w:rFonts w:ascii="宋体" w:hAnsi="宋体" w:cs="Arial"/>
          <w:sz w:val="24"/>
        </w:rPr>
      </w:pPr>
      <w:r>
        <w:rPr>
          <w:rFonts w:ascii="宋体" w:hAnsi="宋体" w:cs="Arial" w:hint="eastAsia"/>
          <w:sz w:val="24"/>
        </w:rPr>
        <w:t>2.基金托管资金账户的开立和使用，限于满足开展本基金业务的需要。基金托管人和基金管理人不得假借本基金的名义开立任何其他银行账户；亦不得使用</w:t>
      </w:r>
      <w:r>
        <w:rPr>
          <w:rFonts w:ascii="宋体" w:hAnsi="宋体" w:cs="Arial" w:hint="eastAsia"/>
          <w:sz w:val="24"/>
        </w:rPr>
        <w:lastRenderedPageBreak/>
        <w:t>基金的任何账户进行本基金业务以外的活动。</w:t>
      </w:r>
    </w:p>
    <w:p w14:paraId="2538363F" w14:textId="77777777" w:rsidR="004E1659" w:rsidRDefault="00F42610">
      <w:pPr>
        <w:adjustRightInd w:val="0"/>
        <w:snapToGrid w:val="0"/>
        <w:spacing w:line="360" w:lineRule="auto"/>
        <w:ind w:firstLine="480"/>
        <w:rPr>
          <w:rFonts w:ascii="宋体" w:hAnsi="宋体" w:cs="Arial"/>
          <w:sz w:val="24"/>
        </w:rPr>
      </w:pPr>
      <w:r>
        <w:rPr>
          <w:rFonts w:ascii="宋体" w:hAnsi="宋体" w:cs="Arial" w:hint="eastAsia"/>
          <w:sz w:val="24"/>
        </w:rPr>
        <w:t>3.基金托管资金账户的开立和管理应符合银行业监督管理机构的有关规定。</w:t>
      </w:r>
    </w:p>
    <w:p w14:paraId="7885D936" w14:textId="77777777" w:rsidR="004E1659" w:rsidRDefault="00F42610">
      <w:pPr>
        <w:adjustRightInd w:val="0"/>
        <w:snapToGrid w:val="0"/>
        <w:spacing w:line="360" w:lineRule="auto"/>
        <w:ind w:firstLine="480"/>
        <w:rPr>
          <w:rFonts w:ascii="宋体" w:hAnsi="宋体" w:cs="Arial"/>
          <w:sz w:val="24"/>
        </w:rPr>
      </w:pPr>
      <w:r>
        <w:rPr>
          <w:rFonts w:ascii="宋体" w:hAnsi="宋体" w:cs="Arial" w:hint="eastAsia"/>
          <w:sz w:val="24"/>
        </w:rPr>
        <w:t>4.在符合法律法规规定的条件下，基金托管人可以通过基金托管人专用账户办理基金资产的支付。</w:t>
      </w:r>
    </w:p>
    <w:p w14:paraId="41EAF403" w14:textId="77777777" w:rsidR="004E1659" w:rsidRDefault="00F42610">
      <w:pPr>
        <w:adjustRightInd w:val="0"/>
        <w:snapToGrid w:val="0"/>
        <w:spacing w:line="360" w:lineRule="auto"/>
        <w:ind w:firstLine="480"/>
        <w:rPr>
          <w:rFonts w:ascii="宋体" w:hAnsi="宋体" w:cs="Arial"/>
          <w:sz w:val="24"/>
        </w:rPr>
      </w:pPr>
      <w:r>
        <w:rPr>
          <w:rFonts w:ascii="宋体" w:hAnsi="宋体" w:cs="Arial" w:hint="eastAsia"/>
          <w:sz w:val="24"/>
        </w:rPr>
        <w:t>5.基金管理人应于基金清盘后及时完成收益兑付、费用结清及其他应收应付款项资金划转，在确保后续不再发生款项进出后的10个工作日内向基金托管人发出销户申请。</w:t>
      </w:r>
    </w:p>
    <w:p w14:paraId="6D9FF99E" w14:textId="77777777" w:rsidR="004E1659" w:rsidRDefault="00F42610">
      <w:pPr>
        <w:adjustRightInd w:val="0"/>
        <w:snapToGrid w:val="0"/>
        <w:spacing w:line="360" w:lineRule="auto"/>
        <w:ind w:firstLine="480"/>
        <w:rPr>
          <w:rFonts w:ascii="宋体" w:hAnsi="宋体" w:cs="Arial"/>
          <w:sz w:val="24"/>
        </w:rPr>
      </w:pPr>
      <w:r>
        <w:rPr>
          <w:rFonts w:ascii="宋体" w:hAnsi="宋体" w:cs="Arial" w:hint="eastAsia"/>
          <w:sz w:val="24"/>
        </w:rPr>
        <w:t>（四）基金证券账户和结算备付金账户的开立和管理</w:t>
      </w:r>
    </w:p>
    <w:p w14:paraId="2D381D22"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1.基金托管人在中国证券登记结算有限责任公司为基金开立基金托管人与基金联名的证券账户。</w:t>
      </w:r>
    </w:p>
    <w:p w14:paraId="5CC26935"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294AF783"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3.基金证券账户的开立和证券账户卡的保管由基金托管人负责，账户资产的管理和运用由基金管理人负责。</w:t>
      </w:r>
    </w:p>
    <w:p w14:paraId="3C062D97"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证券账户开户费由基金管理人先行垫付，待基金启始运营后，基金管理人可向基金托管人发送划款指令，将代垫开户费从本基金托管资金账户中扣还基金管理人。</w:t>
      </w:r>
    </w:p>
    <w:p w14:paraId="540FBAE4"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14:paraId="7A81B024"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5.账户注销时，在遵守中国证券登记结算有限责任公司的相关规定下，由基金管理人和基金托管人协商确认主要办理人。账户注销期间，主要办理人如需另一方提供配合的，另一方应予以配合。</w:t>
      </w:r>
    </w:p>
    <w:p w14:paraId="5C4F43D2" w14:textId="12E180C1"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6.若中国证监会或其他监管机构在本托管协议订立之后允许基金从事其他投资品种的投资业务，涉及相关账户的开立、使用的，按有关规定开立、使用并管理；若无相关规定，则基金托管人比照上述关于账户开立、使用的规定执行。</w:t>
      </w:r>
    </w:p>
    <w:p w14:paraId="67E9BB1C"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（五）银行间账户的开设和管理</w:t>
      </w:r>
    </w:p>
    <w:p w14:paraId="0CBC09A0" w14:textId="77777777" w:rsidR="004E1659" w:rsidRDefault="00F42610">
      <w:pPr>
        <w:adjustRightInd w:val="0"/>
        <w:snapToGrid w:val="0"/>
        <w:spacing w:line="360" w:lineRule="auto"/>
        <w:ind w:firstLineChars="200" w:firstLine="480"/>
        <w:rPr>
          <w:rFonts w:ascii="彩虹粗仿宋" w:eastAsia="彩虹粗仿宋" w:hAnsi="宋体" w:cs="Arial"/>
          <w:sz w:val="24"/>
        </w:rPr>
      </w:pPr>
      <w:r>
        <w:rPr>
          <w:rFonts w:ascii="宋体" w:hAnsi="宋体" w:cs="Arial" w:hint="eastAsia"/>
          <w:sz w:val="24"/>
        </w:rPr>
        <w:lastRenderedPageBreak/>
        <w:t>《基金合同》生效后，基金管理人负责以基金的名义申请并取得进入全国银行间同业拆借市场的交易资格，并代表基金进行交易；基金托管人根据中国人民银行、银行间市场登记结算机构的有关规定，以本基金名义在银行间市场登记结算机构开立债券托管账户和资金结算专户，并代表基金进行银行间市场债券的结算。</w:t>
      </w:r>
    </w:p>
    <w:p w14:paraId="24C9FA8C"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（六）其他账户的开立和管理</w:t>
      </w:r>
    </w:p>
    <w:p w14:paraId="739D81E8"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1.在本托管协议订立日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14:paraId="7C8D9232" w14:textId="77777777" w:rsidR="004E1659" w:rsidRDefault="00F42610">
      <w:pPr>
        <w:adjustRightInd w:val="0"/>
        <w:snapToGrid w:val="0"/>
        <w:spacing w:line="360" w:lineRule="auto"/>
        <w:ind w:firstLine="480"/>
        <w:rPr>
          <w:rFonts w:ascii="宋体" w:hAnsi="宋体" w:cs="Arial"/>
          <w:sz w:val="24"/>
        </w:rPr>
      </w:pPr>
      <w:r>
        <w:rPr>
          <w:rFonts w:ascii="宋体" w:hAnsi="宋体" w:cs="Arial" w:hint="eastAsia"/>
          <w:sz w:val="24"/>
        </w:rPr>
        <w:t>2.法律法规等有关规定对相关账户的开立和管理另有规定的，从其规定办理。</w:t>
      </w:r>
    </w:p>
    <w:p w14:paraId="5E2E7E2D"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（七）基金财产投资的有关有价凭证等的保管</w:t>
      </w:r>
    </w:p>
    <w:p w14:paraId="38AB617C"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基金财产投资的有关实物证券、银行存款开户证实书等有价凭证由基金托管人存放于基金托管人的保管库，也可存入法律法规有关规定允许的各类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14:paraId="21C7A36C"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（八）与基金财产有关的重大合同的保管</w:t>
      </w:r>
    </w:p>
    <w:p w14:paraId="02D523C1"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由基金管理人代表基金签署的、与基金财产有关的重大合同的原件分别由基金管理人、基金托管人保管。除本协议另有规定外，基金管理人在代表基金签署与基金财产有关的重大合同时应保证基金一方持有两份以上的正本，以保证基金管理人和基金托管人至少各持有一份正本的原件。基金管理人应在重大合同签署后及时将重大合同传真给基金托管人，并在三十个工作日内将正本送达基金托管人处。重大合同的保管期限不低于法律法规规定的最低期限。对于无法取得二份以上的正本的，基金管理人应向基金托管人提供加盖公章的合同传真件，未经双方协商一致，合同原件不得转移。</w:t>
      </w:r>
    </w:p>
    <w:p w14:paraId="45C95B76" w14:textId="77777777" w:rsidR="004E1659" w:rsidRDefault="004E1659">
      <w:pPr>
        <w:spacing w:line="360" w:lineRule="auto"/>
        <w:rPr>
          <w:rFonts w:ascii="宋体" w:hAnsi="宋体"/>
          <w:sz w:val="24"/>
        </w:rPr>
      </w:pPr>
    </w:p>
    <w:p w14:paraId="58C6881F" w14:textId="77777777" w:rsidR="004E1659" w:rsidRDefault="00F42610">
      <w:pPr>
        <w:pStyle w:val="2"/>
        <w:spacing w:line="360" w:lineRule="auto"/>
        <w:jc w:val="center"/>
        <w:rPr>
          <w:rFonts w:ascii="宋体" w:eastAsia="宋体" w:hAnsi="宋体"/>
          <w:sz w:val="30"/>
        </w:rPr>
      </w:pPr>
      <w:bookmarkStart w:id="53" w:name="_Toc516758900"/>
      <w:bookmarkStart w:id="54" w:name="_Toc118212952"/>
      <w:bookmarkStart w:id="55" w:name="_Toc86204790"/>
      <w:bookmarkStart w:id="56" w:name="_Toc84133787"/>
      <w:bookmarkStart w:id="57" w:name="_Toc119402712"/>
      <w:bookmarkStart w:id="58" w:name="_Toc110761798"/>
      <w:bookmarkStart w:id="59" w:name="_Toc86726441"/>
      <w:bookmarkStart w:id="60" w:name="_Toc84234389"/>
      <w:bookmarkStart w:id="61" w:name="_Toc84234436"/>
      <w:bookmarkStart w:id="62" w:name="_Toc86727357"/>
      <w:bookmarkStart w:id="63" w:name="_Toc86225293"/>
      <w:bookmarkStart w:id="64" w:name="_Toc89163370"/>
      <w:bookmarkStart w:id="65" w:name="_Toc108512360"/>
      <w:bookmarkStart w:id="66" w:name="_Toc110830494"/>
      <w:bookmarkStart w:id="67" w:name="_Toc118774805"/>
      <w:bookmarkStart w:id="68" w:name="_Toc120435785"/>
      <w:bookmarkStart w:id="69" w:name="_Toc86649724"/>
      <w:bookmarkStart w:id="70" w:name="_Toc86737931"/>
      <w:bookmarkStart w:id="71" w:name="_Toc118972650"/>
      <w:bookmarkStart w:id="72" w:name="_Toc86223244"/>
      <w:bookmarkStart w:id="73" w:name="_Toc110765662"/>
      <w:r>
        <w:rPr>
          <w:rFonts w:ascii="宋体" w:eastAsia="宋体" w:hAnsi="宋体" w:hint="eastAsia"/>
          <w:sz w:val="30"/>
        </w:rPr>
        <w:lastRenderedPageBreak/>
        <w:t>六、指令的发送、确认及执行</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5360FE54" w14:textId="77777777" w:rsidR="004E1659" w:rsidRDefault="00F42610">
      <w:pPr>
        <w:adjustRightInd w:val="0"/>
        <w:snapToGrid w:val="0"/>
        <w:spacing w:line="360" w:lineRule="auto"/>
        <w:ind w:firstLine="480"/>
        <w:rPr>
          <w:rFonts w:ascii="宋体" w:hAnsi="宋体" w:cs="Arial"/>
          <w:sz w:val="24"/>
        </w:rPr>
      </w:pPr>
      <w:r>
        <w:rPr>
          <w:rFonts w:ascii="宋体" w:hAnsi="宋体" w:cs="Arial" w:hint="eastAsia"/>
          <w:sz w:val="24"/>
        </w:rPr>
        <w:t>基金管理人在运用基金财产时向基金托管人发送资金划拨及其他款项付款指令，基金托管人执行基金管理人的指令、办理基金名下的资金往来等有关事项。</w:t>
      </w:r>
    </w:p>
    <w:p w14:paraId="4B09BA07" w14:textId="77777777" w:rsidR="004E1659" w:rsidRDefault="00F42610">
      <w:pPr>
        <w:adjustRightInd w:val="0"/>
        <w:snapToGrid w:val="0"/>
        <w:spacing w:line="360" w:lineRule="auto"/>
        <w:ind w:firstLine="480"/>
        <w:rPr>
          <w:rFonts w:ascii="宋体" w:hAnsi="宋体" w:cs="Arial"/>
          <w:sz w:val="24"/>
        </w:rPr>
      </w:pPr>
      <w:r>
        <w:rPr>
          <w:rFonts w:ascii="宋体" w:hAnsi="宋体" w:cs="Arial" w:hint="eastAsia"/>
          <w:sz w:val="24"/>
        </w:rPr>
        <w:t>（一）基金管理人对发送指令人员的书面授权</w:t>
      </w:r>
    </w:p>
    <w:p w14:paraId="4F326C65" w14:textId="77777777" w:rsidR="004E1659" w:rsidRDefault="00F42610">
      <w:pPr>
        <w:adjustRightInd w:val="0"/>
        <w:snapToGrid w:val="0"/>
        <w:spacing w:line="360" w:lineRule="auto"/>
        <w:ind w:firstLine="480"/>
        <w:rPr>
          <w:rFonts w:ascii="宋体" w:hAnsi="宋体" w:cs="Arial"/>
          <w:sz w:val="24"/>
        </w:rPr>
      </w:pPr>
      <w:r>
        <w:rPr>
          <w:rFonts w:ascii="宋体" w:hAnsi="宋体" w:cs="Arial" w:hint="eastAsia"/>
          <w:sz w:val="24"/>
        </w:rPr>
        <w:t>1.基金管理人应指定专人向基金托管人发送指令。</w:t>
      </w:r>
    </w:p>
    <w:p w14:paraId="5C752DF7" w14:textId="77777777" w:rsidR="004E1659" w:rsidRDefault="00F42610">
      <w:pPr>
        <w:adjustRightInd w:val="0"/>
        <w:snapToGrid w:val="0"/>
        <w:spacing w:line="360" w:lineRule="auto"/>
        <w:ind w:firstLine="480"/>
        <w:rPr>
          <w:rFonts w:ascii="宋体" w:hAnsi="宋体" w:cs="Arial"/>
          <w:sz w:val="24"/>
        </w:rPr>
      </w:pPr>
      <w:r>
        <w:rPr>
          <w:rFonts w:ascii="宋体" w:hAnsi="宋体" w:cs="Arial" w:hint="eastAsia"/>
          <w:sz w:val="24"/>
        </w:rPr>
        <w:t>2.基金管理人应向基金托管人提供书面授权文件原件，内容包括被授权人名单、预留印鉴及被授权人签章样本，授权文件应注明被授权人相应的权限，</w:t>
      </w:r>
      <w:r>
        <w:rPr>
          <w:rFonts w:ascii="宋体" w:hAnsi="宋体" w:cs="Arial"/>
          <w:sz w:val="24"/>
        </w:rPr>
        <w:t>并加盖单位公章</w:t>
      </w:r>
      <w:r>
        <w:rPr>
          <w:rFonts w:ascii="宋体" w:hAnsi="宋体" w:cs="Arial" w:hint="eastAsia"/>
          <w:sz w:val="24"/>
        </w:rPr>
        <w:t>。</w:t>
      </w:r>
    </w:p>
    <w:p w14:paraId="16713D51" w14:textId="77777777" w:rsidR="004E1659" w:rsidRDefault="00F42610">
      <w:pPr>
        <w:adjustRightInd w:val="0"/>
        <w:snapToGrid w:val="0"/>
        <w:spacing w:line="360" w:lineRule="auto"/>
        <w:ind w:firstLine="480"/>
        <w:rPr>
          <w:rFonts w:ascii="宋体" w:hAnsi="宋体" w:cs="Arial"/>
          <w:sz w:val="24"/>
        </w:rPr>
      </w:pPr>
      <w:r>
        <w:rPr>
          <w:rFonts w:ascii="宋体"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前述时间，则以基金托管人收到授权文件并经电话确认的时点为授权文件的生效时间。</w:t>
      </w:r>
    </w:p>
    <w:p w14:paraId="114A0513" w14:textId="77777777" w:rsidR="004E1659" w:rsidRDefault="00F42610">
      <w:pPr>
        <w:adjustRightInd w:val="0"/>
        <w:snapToGrid w:val="0"/>
        <w:spacing w:line="360" w:lineRule="auto"/>
        <w:ind w:firstLine="480"/>
        <w:rPr>
          <w:rFonts w:ascii="宋体" w:hAnsi="宋体" w:cs="Arial"/>
          <w:sz w:val="24"/>
        </w:rPr>
      </w:pPr>
      <w:r>
        <w:rPr>
          <w:rFonts w:ascii="宋体" w:hAnsi="宋体" w:cs="Arial" w:hint="eastAsia"/>
          <w:sz w:val="24"/>
        </w:rPr>
        <w:t>4.基金管理人和基金托管人对授权文件负有保密义务，其内容不得向被授权人及相关操作人员以外的任何人泄露。但法律法规规定或有权机关要求的除外。</w:t>
      </w:r>
    </w:p>
    <w:p w14:paraId="5FB169AA" w14:textId="77777777" w:rsidR="004E1659" w:rsidRDefault="00F42610">
      <w:pPr>
        <w:adjustRightInd w:val="0"/>
        <w:snapToGrid w:val="0"/>
        <w:spacing w:line="360" w:lineRule="auto"/>
        <w:ind w:firstLine="480"/>
        <w:rPr>
          <w:rFonts w:ascii="宋体" w:hAnsi="宋体" w:cs="Arial"/>
          <w:sz w:val="24"/>
        </w:rPr>
      </w:pPr>
      <w:r>
        <w:rPr>
          <w:rFonts w:ascii="宋体" w:hAnsi="宋体" w:cs="Arial" w:hint="eastAsia"/>
          <w:sz w:val="24"/>
        </w:rPr>
        <w:t>（二）指令的内容</w:t>
      </w:r>
    </w:p>
    <w:p w14:paraId="342F8EB4" w14:textId="77777777" w:rsidR="004E1659" w:rsidRDefault="00F42610">
      <w:pPr>
        <w:adjustRightInd w:val="0"/>
        <w:snapToGrid w:val="0"/>
        <w:spacing w:line="360" w:lineRule="auto"/>
        <w:ind w:firstLine="480"/>
        <w:rPr>
          <w:rFonts w:ascii="宋体" w:hAnsi="宋体" w:cs="Arial"/>
          <w:sz w:val="24"/>
        </w:rPr>
      </w:pPr>
      <w:r>
        <w:rPr>
          <w:rFonts w:ascii="宋体" w:hAnsi="宋体" w:cs="Arial" w:hint="eastAsia"/>
          <w:sz w:val="24"/>
        </w:rPr>
        <w:t>1.指令包括付款指令以及其他资金划拨指令等。</w:t>
      </w:r>
    </w:p>
    <w:p w14:paraId="1F82511B" w14:textId="77777777" w:rsidR="004E1659" w:rsidRDefault="00F42610">
      <w:pPr>
        <w:adjustRightInd w:val="0"/>
        <w:snapToGrid w:val="0"/>
        <w:spacing w:line="360" w:lineRule="auto"/>
        <w:ind w:firstLine="480"/>
        <w:rPr>
          <w:rFonts w:ascii="宋体" w:hAnsi="宋体" w:cs="Arial"/>
          <w:sz w:val="24"/>
        </w:rPr>
      </w:pPr>
      <w:r>
        <w:rPr>
          <w:rFonts w:ascii="宋体" w:hAnsi="宋体" w:cs="Arial" w:hint="eastAsia"/>
          <w:sz w:val="24"/>
        </w:rPr>
        <w:t>2.基金管理人发给基金托管人的指令应写明款项事由、支付时间、到账时间、金额、收付款账户等，加盖预留印鉴并由被授权人签章。</w:t>
      </w:r>
    </w:p>
    <w:p w14:paraId="656E37BF" w14:textId="77777777" w:rsidR="004E1659" w:rsidRDefault="00F42610">
      <w:pPr>
        <w:adjustRightInd w:val="0"/>
        <w:snapToGrid w:val="0"/>
        <w:spacing w:line="360" w:lineRule="auto"/>
        <w:ind w:firstLine="480"/>
        <w:rPr>
          <w:rFonts w:ascii="宋体" w:hAnsi="宋体" w:cs="Arial"/>
          <w:sz w:val="24"/>
        </w:rPr>
      </w:pPr>
      <w:r>
        <w:rPr>
          <w:rFonts w:ascii="宋体" w:hAnsi="宋体" w:cs="Arial" w:hint="eastAsia"/>
          <w:sz w:val="24"/>
        </w:rPr>
        <w:t>（三）指令的发送、确认及执行的时间和程序</w:t>
      </w:r>
    </w:p>
    <w:p w14:paraId="505D8A67" w14:textId="77777777" w:rsidR="004E1659" w:rsidRDefault="00F42610">
      <w:pPr>
        <w:adjustRightInd w:val="0"/>
        <w:snapToGrid w:val="0"/>
        <w:spacing w:line="360" w:lineRule="auto"/>
        <w:ind w:firstLine="480"/>
        <w:rPr>
          <w:rFonts w:ascii="宋体" w:hAnsi="宋体" w:cs="Arial"/>
          <w:sz w:val="24"/>
        </w:rPr>
      </w:pPr>
      <w:r>
        <w:rPr>
          <w:rFonts w:ascii="宋体" w:hAnsi="宋体" w:cs="Arial" w:hint="eastAsia"/>
          <w:sz w:val="24"/>
        </w:rPr>
        <w:t>1.指令的发送</w:t>
      </w:r>
    </w:p>
    <w:p w14:paraId="2F938077" w14:textId="77777777" w:rsidR="004E1659" w:rsidRDefault="00F42610">
      <w:pPr>
        <w:adjustRightInd w:val="0"/>
        <w:snapToGrid w:val="0"/>
        <w:spacing w:line="360" w:lineRule="auto"/>
        <w:ind w:firstLine="480"/>
        <w:rPr>
          <w:rFonts w:ascii="宋体" w:hAnsi="宋体" w:cs="Arial"/>
          <w:sz w:val="24"/>
        </w:rPr>
      </w:pPr>
      <w:r>
        <w:rPr>
          <w:rFonts w:ascii="宋体" w:hAnsi="宋体" w:cs="Arial" w:hint="eastAsia"/>
          <w:sz w:val="24"/>
        </w:rPr>
        <w:t>基金管理人发送指令应采用传真方式或双方协商一致的其他方式。</w:t>
      </w:r>
    </w:p>
    <w:p w14:paraId="48B4100D" w14:textId="77777777" w:rsidR="004E1659" w:rsidRDefault="00F42610">
      <w:pPr>
        <w:adjustRightInd w:val="0"/>
        <w:snapToGrid w:val="0"/>
        <w:spacing w:line="360" w:lineRule="auto"/>
        <w:ind w:firstLine="480"/>
        <w:rPr>
          <w:rFonts w:ascii="宋体" w:hAnsi="宋体" w:cs="Arial"/>
          <w:sz w:val="24"/>
        </w:rPr>
      </w:pPr>
      <w:r>
        <w:rPr>
          <w:rFonts w:ascii="宋体"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3ED88CC1" w14:textId="77777777" w:rsidR="004E1659" w:rsidRDefault="00F42610">
      <w:pPr>
        <w:adjustRightInd w:val="0"/>
        <w:snapToGrid w:val="0"/>
        <w:spacing w:line="360" w:lineRule="auto"/>
        <w:ind w:firstLine="480"/>
        <w:rPr>
          <w:rFonts w:ascii="宋体" w:hAnsi="宋体" w:cs="Arial"/>
          <w:sz w:val="24"/>
        </w:rPr>
      </w:pPr>
      <w:r>
        <w:rPr>
          <w:rFonts w:ascii="宋体" w:hAnsi="宋体" w:cs="Arial" w:hint="eastAsia"/>
          <w:sz w:val="24"/>
        </w:rPr>
        <w:t>指令发出后，基金管理人应及时以电话方式向基金托管人确认。</w:t>
      </w:r>
    </w:p>
    <w:p w14:paraId="149C8D46" w14:textId="77777777" w:rsidR="004E1659" w:rsidRDefault="00F42610">
      <w:pPr>
        <w:adjustRightInd w:val="0"/>
        <w:snapToGrid w:val="0"/>
        <w:spacing w:line="360" w:lineRule="auto"/>
        <w:ind w:firstLine="480"/>
        <w:rPr>
          <w:rFonts w:ascii="宋体" w:hAnsi="宋体"/>
          <w:sz w:val="24"/>
        </w:rPr>
      </w:pPr>
      <w:r>
        <w:rPr>
          <w:rFonts w:ascii="宋体" w:hAnsi="宋体" w:cs="Arial" w:hint="eastAsia"/>
          <w:sz w:val="24"/>
        </w:rPr>
        <w:t>基金管理人应在银行间交易成交后，及时将通知单、相关文件及划款指令加</w:t>
      </w:r>
      <w:r>
        <w:rPr>
          <w:rFonts w:ascii="宋体" w:hAnsi="宋体" w:cs="Arial" w:hint="eastAsia"/>
          <w:sz w:val="24"/>
        </w:rPr>
        <w:lastRenderedPageBreak/>
        <w:t>盖印章后发至基金托管人并电话确认，由基金托管人完成后台交易匹配和资金交收事宜。</w:t>
      </w:r>
      <w:r>
        <w:rPr>
          <w:rFonts w:ascii="宋体" w:hAnsi="宋体" w:hint="eastAsia"/>
          <w:sz w:val="24"/>
        </w:rPr>
        <w:t>如果银行间结算系统已经生成的交易需要取消或终止，基金管理人要书面通知基金托管人。</w:t>
      </w:r>
    </w:p>
    <w:p w14:paraId="54E48301" w14:textId="77777777" w:rsidR="004E1659" w:rsidRDefault="00F42610">
      <w:pPr>
        <w:adjustRightInd w:val="0"/>
        <w:snapToGrid w:val="0"/>
        <w:spacing w:line="360" w:lineRule="auto"/>
        <w:ind w:firstLine="480"/>
        <w:rPr>
          <w:rFonts w:ascii="宋体" w:hAnsi="宋体" w:cs="Arial"/>
          <w:sz w:val="24"/>
        </w:rPr>
      </w:pPr>
      <w:r>
        <w:rPr>
          <w:rFonts w:ascii="宋体" w:hAnsi="宋体" w:cs="Arial" w:hint="eastAsia"/>
          <w:sz w:val="24"/>
        </w:rPr>
        <w:t>2.指令的确认</w:t>
      </w:r>
    </w:p>
    <w:p w14:paraId="5D82AFA1" w14:textId="77777777" w:rsidR="004E1659" w:rsidRDefault="00F42610">
      <w:pPr>
        <w:adjustRightInd w:val="0"/>
        <w:snapToGrid w:val="0"/>
        <w:spacing w:line="360" w:lineRule="auto"/>
        <w:ind w:firstLine="480"/>
        <w:rPr>
          <w:rFonts w:ascii="宋体" w:hAnsi="宋体" w:cs="Arial"/>
          <w:sz w:val="24"/>
        </w:rPr>
      </w:pPr>
      <w:r>
        <w:rPr>
          <w:rFonts w:ascii="宋体"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章和印鉴与授权文件进行表面真实性及权限范围核对，复核无误后应在规定期限内执行，不得延误，如有疑问必须及时通知基金管理人。</w:t>
      </w:r>
    </w:p>
    <w:p w14:paraId="79988D66" w14:textId="77777777" w:rsidR="004E1659" w:rsidRDefault="00F42610">
      <w:pPr>
        <w:adjustRightInd w:val="0"/>
        <w:snapToGrid w:val="0"/>
        <w:spacing w:line="360" w:lineRule="auto"/>
        <w:ind w:firstLine="480"/>
        <w:rPr>
          <w:rFonts w:ascii="宋体" w:hAnsi="宋体" w:cs="Arial"/>
          <w:sz w:val="24"/>
        </w:rPr>
      </w:pPr>
      <w:r>
        <w:rPr>
          <w:rFonts w:ascii="宋体" w:hAnsi="宋体" w:cs="Arial" w:hint="eastAsia"/>
          <w:sz w:val="24"/>
        </w:rPr>
        <w:t>3.指令的时间和执行</w:t>
      </w:r>
    </w:p>
    <w:p w14:paraId="6C75810E" w14:textId="77777777" w:rsidR="004E1659" w:rsidRDefault="00F42610">
      <w:pPr>
        <w:pStyle w:val="a6"/>
        <w:spacing w:line="360" w:lineRule="auto"/>
        <w:ind w:firstLineChars="0"/>
        <w:rPr>
          <w:rFonts w:ascii="宋体" w:eastAsia="宋体" w:hAnsi="宋体" w:cs="Arial"/>
          <w:szCs w:val="24"/>
          <w:shd w:val="pct10" w:color="auto" w:fill="FFFFFF"/>
        </w:rPr>
      </w:pPr>
      <w:r>
        <w:rPr>
          <w:rFonts w:ascii="宋体" w:eastAsia="宋体"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且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Pr>
          <w:rFonts w:ascii="宋体" w:eastAsia="宋体" w:hAnsi="宋体" w:cs="Arial" w:hint="eastAsia"/>
          <w:szCs w:val="24"/>
        </w:rPr>
        <w:t>基金管理人应确保基金托管人在执行指令时，基金托管资金账户有足够的资金余额，</w:t>
      </w:r>
      <w:r>
        <w:rPr>
          <w:rFonts w:ascii="宋体" w:eastAsia="宋体" w:hAnsi="宋体" w:cs="Arial" w:hint="eastAsia"/>
        </w:rPr>
        <w:t>在基金资金头寸充足的情况下，基金托管人对基金管理人符合法律法规、《基金合同》、本协议的指令不得拖延或拒绝执行。</w:t>
      </w:r>
    </w:p>
    <w:p w14:paraId="72E4F1CA" w14:textId="77777777" w:rsidR="004E1659" w:rsidRDefault="00F42610">
      <w:pPr>
        <w:pStyle w:val="a6"/>
        <w:spacing w:line="360" w:lineRule="auto"/>
        <w:ind w:firstLineChars="0"/>
        <w:rPr>
          <w:rFonts w:ascii="宋体" w:eastAsia="宋体" w:hAnsi="宋体" w:cs="Arial"/>
          <w:szCs w:val="24"/>
        </w:rPr>
      </w:pPr>
      <w:r>
        <w:rPr>
          <w:rFonts w:ascii="宋体" w:eastAsia="宋体" w:hAnsi="宋体" w:cs="Arial" w:hint="eastAsia"/>
          <w:szCs w:val="24"/>
        </w:rPr>
        <w:t>（四）基金管理人发送错误指令的情形和处理程序</w:t>
      </w:r>
    </w:p>
    <w:p w14:paraId="541CCE63" w14:textId="77777777" w:rsidR="004E1659" w:rsidRDefault="00F42610">
      <w:pPr>
        <w:pStyle w:val="a6"/>
        <w:spacing w:line="360" w:lineRule="auto"/>
        <w:ind w:firstLineChars="0"/>
        <w:rPr>
          <w:rFonts w:ascii="宋体" w:eastAsia="宋体" w:hAnsi="宋体" w:cs="Arial"/>
          <w:szCs w:val="24"/>
        </w:rPr>
      </w:pPr>
      <w:r>
        <w:rPr>
          <w:rFonts w:ascii="宋体" w:eastAsia="宋体" w:hAnsi="宋体" w:cs="Arial" w:hint="eastAsia"/>
          <w:szCs w:val="24"/>
        </w:rPr>
        <w:t>基金管理人发送错误指令的情形包括指令违反法律法规、监管规定、《基金合同》或本协议的约定，或指令发送人员无权或超越权限发送指令。</w:t>
      </w:r>
    </w:p>
    <w:p w14:paraId="70269D7B" w14:textId="77777777" w:rsidR="004E1659" w:rsidRDefault="00F42610">
      <w:pPr>
        <w:pStyle w:val="a6"/>
        <w:spacing w:line="360" w:lineRule="auto"/>
        <w:ind w:firstLineChars="0"/>
        <w:rPr>
          <w:rFonts w:ascii="宋体" w:eastAsia="宋体" w:hAnsi="宋体" w:cs="Arial"/>
          <w:szCs w:val="24"/>
        </w:rPr>
      </w:pPr>
      <w:r>
        <w:rPr>
          <w:rFonts w:ascii="宋体" w:eastAsia="宋体" w:hAnsi="宋体" w:cs="Arial" w:hint="eastAsia"/>
          <w:szCs w:val="24"/>
        </w:rPr>
        <w:t>基金托管人发现基金管理人的指令错误时，有权拒绝执行，并及时通知基金管理人改正。如需基金托管人撤销尚未执行的指令，基金管理人应出具作废指令或作废说明，并电话通知基金托管人。</w:t>
      </w:r>
    </w:p>
    <w:p w14:paraId="147458A5" w14:textId="77777777" w:rsidR="004E1659" w:rsidRDefault="00F42610">
      <w:pPr>
        <w:pStyle w:val="a6"/>
        <w:spacing w:line="360" w:lineRule="auto"/>
        <w:ind w:firstLineChars="0"/>
        <w:rPr>
          <w:rFonts w:ascii="宋体" w:eastAsia="宋体" w:hAnsi="宋体" w:cs="Arial"/>
          <w:szCs w:val="24"/>
        </w:rPr>
      </w:pPr>
      <w:r>
        <w:rPr>
          <w:rFonts w:ascii="宋体" w:eastAsia="宋体" w:hAnsi="宋体" w:cs="Arial" w:hint="eastAsia"/>
          <w:szCs w:val="24"/>
        </w:rPr>
        <w:t>（五）基金托管人未按照基金管理人指令执行的处理方法</w:t>
      </w:r>
    </w:p>
    <w:p w14:paraId="4E796737" w14:textId="77777777" w:rsidR="004E1659" w:rsidRDefault="00F42610">
      <w:pPr>
        <w:pStyle w:val="a6"/>
        <w:spacing w:line="360" w:lineRule="auto"/>
        <w:ind w:firstLineChars="0"/>
        <w:rPr>
          <w:rFonts w:ascii="宋体" w:eastAsia="宋体" w:hAnsi="宋体" w:cs="Arial"/>
          <w:szCs w:val="24"/>
        </w:rPr>
      </w:pPr>
      <w:r>
        <w:rPr>
          <w:rFonts w:ascii="宋体" w:eastAsia="宋体" w:hAnsi="宋体" w:cs="Arial" w:hint="eastAsia"/>
          <w:szCs w:val="24"/>
        </w:rPr>
        <w:t>基金托管人由于自身过错，未按照基金管理人发送的符合法律法规、监管规定、《基金合同》和本协议约定的指令执行并对基金财产或投资人造成的直接损失，由基金托管人赔偿由此造成的直接损失。</w:t>
      </w:r>
    </w:p>
    <w:p w14:paraId="22798871" w14:textId="77777777" w:rsidR="004E1659" w:rsidRDefault="00F42610">
      <w:pPr>
        <w:pStyle w:val="a6"/>
        <w:spacing w:line="360" w:lineRule="auto"/>
        <w:ind w:firstLineChars="0"/>
        <w:rPr>
          <w:rFonts w:ascii="宋体" w:eastAsia="宋体" w:hAnsi="宋体" w:cs="Arial"/>
          <w:szCs w:val="24"/>
        </w:rPr>
      </w:pPr>
      <w:r>
        <w:rPr>
          <w:rFonts w:ascii="宋体" w:eastAsia="宋体" w:hAnsi="宋体" w:cs="Arial" w:hint="eastAsia"/>
          <w:szCs w:val="24"/>
        </w:rPr>
        <w:lastRenderedPageBreak/>
        <w:t>（六）更换被授权人员的程序</w:t>
      </w:r>
    </w:p>
    <w:p w14:paraId="2B741A43" w14:textId="77132262" w:rsidR="004E1659" w:rsidRDefault="00F42610">
      <w:pPr>
        <w:pStyle w:val="a6"/>
        <w:spacing w:line="360" w:lineRule="auto"/>
        <w:ind w:firstLineChars="0"/>
        <w:rPr>
          <w:rFonts w:ascii="彩虹粗仿宋" w:eastAsia="彩虹粗仿宋" w:hAnsi="宋体" w:cs="Arial"/>
        </w:rPr>
      </w:pPr>
      <w:r>
        <w:rPr>
          <w:rFonts w:ascii="宋体" w:eastAsia="宋体" w:hAnsi="宋体" w:cs="Arial" w:hint="eastAsia"/>
          <w:szCs w:val="24"/>
        </w:rPr>
        <w:t>基金管理人更换被授权人、更改或终止对被授权人的授权，应立即将新的加盖公章的授权文件以邮件发送扫描件的方式通知基金托管人，并经电话确认后生效，原授权文件同时废止。新的授权文件应当在邮件发出后七个工作日内送达基金托管人文件正本。新的授权文件生效之后，正本送达之前，基金托管人按照新的授权文件扫描件内容执行有关业务，如果新的授权文件正本与扫描件内容不同，由此产生的责任由基金管理人承担。基金托管人更换接收基金管理人指令的传真号或邮箱地址，应提前通知基金管理人。</w:t>
      </w:r>
    </w:p>
    <w:p w14:paraId="2020538F" w14:textId="77777777" w:rsidR="004E1659" w:rsidRDefault="00F42610">
      <w:pPr>
        <w:adjustRightInd w:val="0"/>
        <w:snapToGrid w:val="0"/>
        <w:spacing w:line="360" w:lineRule="auto"/>
        <w:ind w:firstLine="480"/>
        <w:rPr>
          <w:rFonts w:ascii="宋体" w:hAnsi="宋体" w:cs="Arial"/>
          <w:sz w:val="24"/>
        </w:rPr>
      </w:pPr>
      <w:r>
        <w:rPr>
          <w:rFonts w:ascii="宋体" w:hAnsi="宋体" w:cs="Arial" w:hint="eastAsia"/>
          <w:sz w:val="24"/>
        </w:rPr>
        <w:t>（七）其他事项</w:t>
      </w:r>
    </w:p>
    <w:p w14:paraId="133258EA" w14:textId="77777777" w:rsidR="004E1659" w:rsidRDefault="00F42610">
      <w:pPr>
        <w:adjustRightInd w:val="0"/>
        <w:snapToGrid w:val="0"/>
        <w:spacing w:line="360" w:lineRule="auto"/>
        <w:ind w:firstLine="480"/>
        <w:rPr>
          <w:rFonts w:ascii="宋体" w:hAnsi="宋体" w:cs="Arial"/>
          <w:sz w:val="24"/>
        </w:rPr>
      </w:pPr>
      <w:r>
        <w:rPr>
          <w:rFonts w:ascii="宋体" w:hAnsi="宋体" w:cs="Arial" w:hint="eastAsia"/>
          <w:sz w:val="24"/>
        </w:rPr>
        <w:t>基金托管人在接收指令时，应对指令的要素是否齐全、印鉴与被授权人是否与预留的授权文件内容表面相符进行检查，如发现问题，应及时报告基金管理人，基金托管人对执行基金管理人的有效指令对基金财产造成的损失不承担赔偿责任。</w:t>
      </w:r>
    </w:p>
    <w:p w14:paraId="0D89B2D2" w14:textId="77777777" w:rsidR="004E1659" w:rsidRDefault="00F42610">
      <w:pPr>
        <w:adjustRightInd w:val="0"/>
        <w:snapToGrid w:val="0"/>
        <w:spacing w:line="360" w:lineRule="auto"/>
        <w:ind w:firstLine="480"/>
        <w:rPr>
          <w:rFonts w:ascii="宋体" w:hAnsi="宋体" w:cs="Arial"/>
          <w:sz w:val="24"/>
        </w:rPr>
      </w:pPr>
      <w:r>
        <w:rPr>
          <w:rFonts w:ascii="宋体"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769DE366" w14:textId="77777777" w:rsidR="004E1659" w:rsidRDefault="004E1659">
      <w:pPr>
        <w:adjustRightInd w:val="0"/>
        <w:snapToGrid w:val="0"/>
        <w:spacing w:line="360" w:lineRule="auto"/>
        <w:rPr>
          <w:rFonts w:ascii="宋体" w:hAnsi="宋体" w:cs="Arial"/>
          <w:sz w:val="24"/>
        </w:rPr>
      </w:pPr>
    </w:p>
    <w:p w14:paraId="2229BA57" w14:textId="77777777" w:rsidR="004E1659" w:rsidRDefault="00F42610">
      <w:pPr>
        <w:pStyle w:val="2"/>
        <w:spacing w:line="360" w:lineRule="auto"/>
        <w:jc w:val="center"/>
        <w:rPr>
          <w:rFonts w:ascii="宋体" w:eastAsia="宋体" w:hAnsi="宋体"/>
          <w:sz w:val="30"/>
        </w:rPr>
      </w:pPr>
      <w:bookmarkStart w:id="74" w:name="_Toc86727358"/>
      <w:bookmarkStart w:id="75" w:name="_Toc120435786"/>
      <w:bookmarkStart w:id="76" w:name="_Toc110830495"/>
      <w:bookmarkStart w:id="77" w:name="_Toc86204791"/>
      <w:bookmarkStart w:id="78" w:name="_Toc84234390"/>
      <w:bookmarkStart w:id="79" w:name="_Toc89163371"/>
      <w:bookmarkStart w:id="80" w:name="_Toc86223245"/>
      <w:bookmarkStart w:id="81" w:name="_Toc84234437"/>
      <w:bookmarkStart w:id="82" w:name="_Toc110761799"/>
      <w:bookmarkStart w:id="83" w:name="_Toc119402713"/>
      <w:bookmarkStart w:id="84" w:name="_Toc118212953"/>
      <w:bookmarkStart w:id="85" w:name="_Toc84133788"/>
      <w:bookmarkStart w:id="86" w:name="_Toc118972651"/>
      <w:bookmarkStart w:id="87" w:name="_Toc516758901"/>
      <w:bookmarkStart w:id="88" w:name="_Toc86225294"/>
      <w:bookmarkStart w:id="89" w:name="_Toc108512361"/>
      <w:bookmarkStart w:id="90" w:name="_Toc86649725"/>
      <w:bookmarkStart w:id="91" w:name="_Toc86737932"/>
      <w:bookmarkStart w:id="92" w:name="_Toc118774806"/>
      <w:bookmarkStart w:id="93" w:name="_Toc86726442"/>
      <w:bookmarkStart w:id="94" w:name="_Toc110765663"/>
      <w:r>
        <w:rPr>
          <w:rFonts w:ascii="宋体" w:eastAsia="宋体" w:hAnsi="宋体" w:hint="eastAsia"/>
          <w:sz w:val="30"/>
        </w:rPr>
        <w:t>七、交易及清算交收安排</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35DE5FDE" w14:textId="77777777" w:rsidR="004E1659" w:rsidRDefault="00F42610">
      <w:pPr>
        <w:adjustRightInd w:val="0"/>
        <w:snapToGrid w:val="0"/>
        <w:spacing w:line="360" w:lineRule="auto"/>
        <w:ind w:firstLine="480"/>
        <w:rPr>
          <w:rFonts w:ascii="宋体" w:hAnsi="宋体" w:cs="Arial"/>
          <w:sz w:val="24"/>
        </w:rPr>
      </w:pPr>
      <w:r>
        <w:rPr>
          <w:rFonts w:ascii="宋体" w:hAnsi="宋体" w:cs="Arial" w:hint="eastAsia"/>
          <w:sz w:val="24"/>
        </w:rPr>
        <w:t>本基金参与交易所场内证券投资，采取托管人结算模式，基金管理人与基金托管人应根据有关法律法规及相关业务规则，签订《托管银行证券资金结算协议》用以具体明确基金管理人与基金托管人在证券交易资金结算业务中的程序与责任。协议签署前，基金管理人应按基金托管人要求配合提供相应准入材料。</w:t>
      </w:r>
    </w:p>
    <w:p w14:paraId="2F108D55" w14:textId="77777777" w:rsidR="004E1659" w:rsidRDefault="00F42610">
      <w:pPr>
        <w:adjustRightInd w:val="0"/>
        <w:snapToGrid w:val="0"/>
        <w:spacing w:line="360" w:lineRule="auto"/>
        <w:ind w:firstLine="480"/>
        <w:rPr>
          <w:rFonts w:ascii="宋体" w:hAnsi="宋体" w:cs="Arial"/>
          <w:sz w:val="24"/>
        </w:rPr>
      </w:pPr>
      <w:r>
        <w:rPr>
          <w:rFonts w:ascii="宋体" w:hAnsi="宋体" w:cs="Arial" w:hint="eastAsia"/>
          <w:sz w:val="24"/>
        </w:rPr>
        <w:t>（一）选择证券/期货买卖的证券/期货经营机构</w:t>
      </w:r>
    </w:p>
    <w:p w14:paraId="290ACCDF" w14:textId="77777777" w:rsidR="004E1659" w:rsidRDefault="00F42610">
      <w:pPr>
        <w:pStyle w:val="a0"/>
        <w:adjustRightInd w:val="0"/>
        <w:snapToGrid w:val="0"/>
        <w:spacing w:line="360" w:lineRule="auto"/>
        <w:ind w:firstLine="480"/>
        <w:rPr>
          <w:rFonts w:ascii="宋体" w:hAnsi="宋体" w:cs="Arial"/>
          <w:sz w:val="24"/>
        </w:rPr>
      </w:pPr>
      <w:r>
        <w:rPr>
          <w:rFonts w:ascii="宋体" w:hAnsi="宋体" w:cs="Arial" w:hint="eastAsia"/>
          <w:sz w:val="24"/>
        </w:rPr>
        <w:t>基金管理人应设计选择证券、期货买卖的证券/期货经营机构的标准和程序。基金管理人负责选择证券经营机构，租用其交易单元作为基金的专用交易单元。基金管理人和被选中的证券经营机构签订</w:t>
      </w:r>
      <w:r>
        <w:rPr>
          <w:rFonts w:ascii="宋体" w:hAnsi="宋体" w:cs="Arial"/>
          <w:sz w:val="24"/>
        </w:rPr>
        <w:t>交易单元租用</w:t>
      </w:r>
      <w:r>
        <w:rPr>
          <w:rFonts w:ascii="宋体" w:hAnsi="宋体" w:cs="Arial" w:hint="eastAsia"/>
          <w:sz w:val="24"/>
        </w:rPr>
        <w:t>协议，基金管理人应提前通知基金托管人，并依据基金托管人要求提供相关资料，以便基金托管人申请办理接收结算数据手续。基金管理人应根据有关规定，在基金的中期报告和年度报告中将所选证券经营机构的有关情况及交易信息予以披露，并将该等情况及基金</w:t>
      </w:r>
      <w:r>
        <w:rPr>
          <w:rFonts w:ascii="宋体" w:hAnsi="宋体" w:cs="Arial" w:hint="eastAsia"/>
          <w:sz w:val="24"/>
        </w:rPr>
        <w:lastRenderedPageBreak/>
        <w:t>交易单元号、佣金费率等基本信息以及变更情况及时以书面形式通知基金托管人。</w:t>
      </w:r>
    </w:p>
    <w:p w14:paraId="1E625C6F" w14:textId="77777777" w:rsidR="004E1659" w:rsidRDefault="00F42610">
      <w:pPr>
        <w:pStyle w:val="a0"/>
        <w:adjustRightInd w:val="0"/>
        <w:snapToGrid w:val="0"/>
        <w:spacing w:line="360" w:lineRule="auto"/>
        <w:ind w:firstLine="480"/>
        <w:rPr>
          <w:rFonts w:ascii="宋体" w:hAnsi="宋体" w:cs="Arial"/>
          <w:sz w:val="24"/>
        </w:rPr>
      </w:pPr>
      <w:r>
        <w:rPr>
          <w:rFonts w:ascii="宋体" w:hAnsi="宋体" w:cs="Arial" w:hint="eastAsia"/>
          <w:sz w:val="24"/>
        </w:rPr>
        <w:t>基金管理人负责选择为本基金提供期货交易服务的期货经纪公司，并与其签订期货经纪合同。本基金在开始进行期货投资之前，应与基金托管人、期货公司三方一同就期货开户、清算、估值、交收等事宜另行签署协议《期货投资托管操作三方备忘录》（协议名称以届时签订的为准）。</w:t>
      </w:r>
    </w:p>
    <w:p w14:paraId="3E80C47F" w14:textId="77777777" w:rsidR="004E1659" w:rsidRDefault="00F42610">
      <w:pPr>
        <w:pStyle w:val="a0"/>
        <w:adjustRightInd w:val="0"/>
        <w:snapToGrid w:val="0"/>
        <w:spacing w:line="360" w:lineRule="auto"/>
        <w:ind w:firstLine="480"/>
        <w:rPr>
          <w:rFonts w:ascii="宋体" w:hAnsi="宋体" w:cs="Arial"/>
          <w:sz w:val="24"/>
        </w:rPr>
      </w:pPr>
      <w:r>
        <w:rPr>
          <w:rFonts w:ascii="宋体" w:hAnsi="宋体" w:cs="Arial" w:hint="eastAsia"/>
          <w:sz w:val="24"/>
        </w:rPr>
        <w:t>本基金参加期权交易前，应当按照现有证券账户开立方式向中国证券登记结算有限责任公司申请新开立一个普通证券账户，基金管理人负责将该证券账户指定交易在证券公司或期货公司，由相应证券公司（或期货公司）为本基金开立衍生品合约账户后，再通过该证券公司（或期货公司）参与股票期权交易。</w:t>
      </w:r>
    </w:p>
    <w:p w14:paraId="6CFF227D" w14:textId="77777777" w:rsidR="004E1659" w:rsidRDefault="00F42610">
      <w:pPr>
        <w:adjustRightInd w:val="0"/>
        <w:snapToGrid w:val="0"/>
        <w:spacing w:line="360" w:lineRule="auto"/>
        <w:ind w:firstLine="480"/>
        <w:rPr>
          <w:rFonts w:ascii="宋体" w:hAnsi="宋体" w:cs="Arial"/>
          <w:sz w:val="24"/>
        </w:rPr>
      </w:pPr>
      <w:r>
        <w:rPr>
          <w:rFonts w:ascii="宋体" w:hAnsi="宋体" w:cs="Arial" w:hint="eastAsia"/>
          <w:sz w:val="24"/>
        </w:rPr>
        <w:t>（二）基金投资证券后的清算交收安排</w:t>
      </w:r>
    </w:p>
    <w:p w14:paraId="12DAF3E6" w14:textId="77777777" w:rsidR="004E1659" w:rsidRDefault="00F42610">
      <w:pPr>
        <w:adjustRightInd w:val="0"/>
        <w:snapToGrid w:val="0"/>
        <w:spacing w:line="360" w:lineRule="auto"/>
        <w:ind w:firstLine="480"/>
        <w:rPr>
          <w:rFonts w:ascii="宋体" w:hAnsi="宋体" w:cs="Arial"/>
          <w:sz w:val="24"/>
        </w:rPr>
      </w:pPr>
      <w:r>
        <w:rPr>
          <w:rFonts w:ascii="宋体" w:hAnsi="宋体" w:cs="Arial" w:hint="eastAsia"/>
          <w:sz w:val="24"/>
        </w:rPr>
        <w:t>1.结算备付金与保证金</w:t>
      </w:r>
    </w:p>
    <w:p w14:paraId="74CB73FA" w14:textId="77777777" w:rsidR="004E1659" w:rsidRDefault="00F42610">
      <w:pPr>
        <w:adjustRightInd w:val="0"/>
        <w:snapToGrid w:val="0"/>
        <w:spacing w:line="360" w:lineRule="auto"/>
        <w:ind w:firstLine="480"/>
        <w:rPr>
          <w:rFonts w:ascii="宋体" w:hAnsi="宋体"/>
          <w:sz w:val="24"/>
          <w:szCs w:val="24"/>
        </w:rPr>
      </w:pPr>
      <w:r>
        <w:rPr>
          <w:rFonts w:ascii="宋体" w:hAnsi="宋体" w:hint="eastAsia"/>
          <w:sz w:val="24"/>
          <w:szCs w:val="24"/>
        </w:rPr>
        <w:t>中国证券登记结算有限责任公司分别于每月前6个交易日及每月前3个交易日内，对结算参与人最低备付金限额与结算保证金限额进行重新核算、调整。基金托管人应分别于每月前3个交易日内及结算保证金调整当日通过《资金账户报告》通知基金管理人本基金最低备付金调整金额以及调整后的结算保证金金额。基金管理人应预留最低备付金和结算保证金，并根据中国证券登记结算有限责任公司确定的实际最低备付金、结算保证金数据为依据安排资金运作，调整所需的现金头寸。如因调整最低备付金、结算保证金后造成透支，基金管理人应视基金托管人最低结算备付金比例计收方式分别于下列时点补足透支金额：</w:t>
      </w:r>
    </w:p>
    <w:p w14:paraId="3C2D2B37" w14:textId="77777777" w:rsidR="004E1659" w:rsidRDefault="00F42610">
      <w:pPr>
        <w:adjustRightInd w:val="0"/>
        <w:snapToGrid w:val="0"/>
        <w:spacing w:line="360" w:lineRule="auto"/>
        <w:ind w:firstLine="480"/>
        <w:rPr>
          <w:rFonts w:ascii="宋体" w:hAnsi="宋体"/>
          <w:sz w:val="24"/>
          <w:szCs w:val="24"/>
        </w:rPr>
      </w:pPr>
      <w:r>
        <w:rPr>
          <w:rFonts w:ascii="宋体" w:hAnsi="宋体" w:hint="eastAsia"/>
          <w:sz w:val="24"/>
          <w:szCs w:val="24"/>
        </w:rPr>
        <w:t>（1）固定备付金比例计收方式下，基金管理人应在调整最低备付金、结算保证金当日上午11：00之前补足金额。</w:t>
      </w:r>
    </w:p>
    <w:p w14:paraId="2BDFBE50" w14:textId="77777777" w:rsidR="004E1659" w:rsidRDefault="00F42610">
      <w:pPr>
        <w:adjustRightInd w:val="0"/>
        <w:snapToGrid w:val="0"/>
        <w:spacing w:line="360" w:lineRule="auto"/>
        <w:ind w:firstLine="480"/>
        <w:rPr>
          <w:rFonts w:ascii="宋体" w:hAnsi="宋体"/>
          <w:sz w:val="24"/>
          <w:szCs w:val="24"/>
        </w:rPr>
      </w:pPr>
      <w:r>
        <w:rPr>
          <w:rFonts w:ascii="宋体" w:hAnsi="宋体" w:hint="eastAsia"/>
          <w:sz w:val="24"/>
          <w:szCs w:val="24"/>
        </w:rPr>
        <w:t>（2）差异化备付金比例计收方式下，基金管理人应最晚于资金交收日上午8：30前补足金额。</w:t>
      </w:r>
    </w:p>
    <w:p w14:paraId="4194DB07" w14:textId="77777777" w:rsidR="004E1659" w:rsidRDefault="00F42610">
      <w:pPr>
        <w:adjustRightInd w:val="0"/>
        <w:snapToGrid w:val="0"/>
        <w:spacing w:line="360" w:lineRule="auto"/>
        <w:ind w:firstLine="480"/>
        <w:rPr>
          <w:rFonts w:ascii="宋体" w:hAnsi="宋体" w:cs="Arial"/>
          <w:sz w:val="24"/>
        </w:rPr>
      </w:pPr>
      <w:r>
        <w:rPr>
          <w:rFonts w:ascii="宋体" w:hAnsi="宋体" w:cs="Arial" w:hint="eastAsia"/>
          <w:sz w:val="24"/>
        </w:rPr>
        <w:t>2.清算交收</w:t>
      </w:r>
    </w:p>
    <w:p w14:paraId="06A37ED4" w14:textId="77777777" w:rsidR="004E1659" w:rsidRDefault="00F42610">
      <w:pPr>
        <w:adjustRightInd w:val="0"/>
        <w:snapToGrid w:val="0"/>
        <w:spacing w:line="360" w:lineRule="auto"/>
        <w:ind w:firstLine="480"/>
        <w:rPr>
          <w:rFonts w:ascii="宋体" w:hAnsi="宋体" w:cs="Arial"/>
          <w:sz w:val="24"/>
        </w:rPr>
      </w:pPr>
      <w:r>
        <w:rPr>
          <w:rFonts w:ascii="宋体"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494531FA" w14:textId="341B0D67" w:rsidR="004E1659" w:rsidRDefault="00F42610">
      <w:pPr>
        <w:pStyle w:val="a0"/>
        <w:adjustRightInd w:val="0"/>
        <w:snapToGrid w:val="0"/>
        <w:spacing w:line="360" w:lineRule="auto"/>
        <w:ind w:firstLine="480"/>
        <w:rPr>
          <w:rFonts w:ascii="宋体" w:hAnsi="宋体" w:cs="Arial"/>
          <w:sz w:val="24"/>
        </w:rPr>
      </w:pPr>
      <w:r>
        <w:rPr>
          <w:rFonts w:ascii="宋体" w:hAnsi="宋体" w:cs="Arial" w:hint="eastAsia"/>
          <w:sz w:val="24"/>
        </w:rPr>
        <w:t>如果因为基金托管人自身过错在清算上造成基金财产的直接损失，应由基金托管人负责赔偿，但因中国人民银行、中国证券登记结算有限责任公司和银行间市场登记结算机构资金结算系统以及其他机构的结算系统发生故障等非基金托管</w:t>
      </w:r>
      <w:r>
        <w:rPr>
          <w:rFonts w:ascii="宋体" w:hAnsi="宋体" w:cs="Arial" w:hint="eastAsia"/>
          <w:sz w:val="24"/>
        </w:rPr>
        <w:lastRenderedPageBreak/>
        <w:t>人可以控制的因素造成清算资金无法按时到账的情形，基金托管人免责；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在预清算结束后应通知基金管理人预透支和预欠库事项，基金管理人应保持联系方式畅通，后续补缴等事宜由基金管理人负责解决，由此给基金托管人、本基金和基金托管人托管的其他资产造成的直接损失由基金管理人承担。</w:t>
      </w:r>
    </w:p>
    <w:p w14:paraId="22689011" w14:textId="77777777" w:rsidR="004E1659" w:rsidRDefault="00F42610">
      <w:pPr>
        <w:adjustRightInd w:val="0"/>
        <w:snapToGrid w:val="0"/>
        <w:spacing w:line="360" w:lineRule="auto"/>
        <w:ind w:firstLine="480"/>
        <w:rPr>
          <w:rFonts w:ascii="宋体" w:hAnsi="宋体" w:cs="宋体"/>
          <w:color w:val="000000"/>
          <w:kern w:val="0"/>
          <w:sz w:val="24"/>
        </w:rPr>
      </w:pPr>
      <w:r>
        <w:rPr>
          <w:rFonts w:ascii="宋体" w:hAnsi="宋体" w:cs="宋体" w:hint="eastAsia"/>
          <w:color w:val="000000"/>
          <w:kern w:val="0"/>
          <w:sz w:val="24"/>
        </w:rPr>
        <w:t>基金管理人应采取合理、必要措施，确保T日日终有足够的资金头寸完成T+1日</w:t>
      </w:r>
      <w:r>
        <w:rPr>
          <w:rFonts w:ascii="宋体" w:hAnsi="宋体" w:hint="eastAsia"/>
          <w:sz w:val="24"/>
        </w:rPr>
        <w:t>中国证券登记结算有限责任公司的资金</w:t>
      </w:r>
      <w:r>
        <w:rPr>
          <w:rFonts w:ascii="宋体" w:hAnsi="宋体" w:cs="宋体" w:hint="eastAsia"/>
          <w:color w:val="000000"/>
          <w:kern w:val="0"/>
          <w:sz w:val="24"/>
        </w:rPr>
        <w:t>交收；如因基金管理人原因导致资金头寸不足，基金管理人应视基金托管人最低结算备付金比例计收方式分别于下列时点补足透支金额：</w:t>
      </w:r>
    </w:p>
    <w:p w14:paraId="206B925A" w14:textId="77777777" w:rsidR="004E1659" w:rsidRDefault="00F42610">
      <w:pPr>
        <w:adjustRightInd w:val="0"/>
        <w:snapToGrid w:val="0"/>
        <w:spacing w:line="360" w:lineRule="auto"/>
        <w:ind w:firstLine="480"/>
        <w:rPr>
          <w:rFonts w:ascii="宋体" w:hAnsi="宋体" w:cs="宋体"/>
          <w:color w:val="000000"/>
          <w:kern w:val="0"/>
          <w:sz w:val="24"/>
        </w:rPr>
      </w:pPr>
      <w:r>
        <w:rPr>
          <w:rFonts w:ascii="宋体" w:hAnsi="宋体" w:cs="宋体" w:hint="eastAsia"/>
          <w:color w:val="000000"/>
          <w:kern w:val="0"/>
          <w:sz w:val="24"/>
        </w:rPr>
        <w:t>（1）固定备付金比例计收方式下，基金管理人应最晚于资金交收日上午11：00前补足金额。</w:t>
      </w:r>
    </w:p>
    <w:p w14:paraId="59DA46AF" w14:textId="77777777" w:rsidR="004E1659" w:rsidRDefault="00F42610">
      <w:pPr>
        <w:adjustRightInd w:val="0"/>
        <w:snapToGrid w:val="0"/>
        <w:spacing w:line="360" w:lineRule="auto"/>
        <w:ind w:firstLine="480"/>
        <w:rPr>
          <w:rFonts w:ascii="宋体" w:hAnsi="宋体" w:cs="宋体"/>
          <w:color w:val="000000"/>
          <w:kern w:val="0"/>
          <w:sz w:val="24"/>
        </w:rPr>
      </w:pPr>
      <w:r>
        <w:rPr>
          <w:rFonts w:ascii="宋体" w:hAnsi="宋体" w:cs="宋体" w:hint="eastAsia"/>
          <w:color w:val="000000"/>
          <w:kern w:val="0"/>
          <w:sz w:val="24"/>
        </w:rPr>
        <w:t>（2）差异化备付金比例计收方式下，基金管理人应最晚于资金交收日上午8：30前补足金额。如果基金管理人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25D68610" w14:textId="77777777" w:rsidR="004E1659" w:rsidRDefault="00F42610">
      <w:pPr>
        <w:adjustRightInd w:val="0"/>
        <w:snapToGrid w:val="0"/>
        <w:spacing w:line="360" w:lineRule="auto"/>
        <w:ind w:firstLine="480"/>
        <w:rPr>
          <w:rFonts w:ascii="宋体" w:hAnsi="宋体" w:cs="Arial"/>
          <w:sz w:val="24"/>
        </w:rPr>
      </w:pPr>
      <w:r>
        <w:rPr>
          <w:rFonts w:ascii="宋体"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14:paraId="31E1C92A" w14:textId="0CDDEF61" w:rsidR="004E1659" w:rsidRDefault="00F42610">
      <w:pPr>
        <w:adjustRightInd w:val="0"/>
        <w:snapToGrid w:val="0"/>
        <w:spacing w:line="360" w:lineRule="auto"/>
        <w:ind w:firstLine="480"/>
        <w:rPr>
          <w:rFonts w:ascii="宋体" w:hAnsi="宋体" w:cs="宋体"/>
          <w:color w:val="000000"/>
          <w:kern w:val="0"/>
          <w:sz w:val="24"/>
        </w:rPr>
      </w:pPr>
      <w:r>
        <w:rPr>
          <w:rFonts w:ascii="宋体" w:hAnsi="宋体" w:cs="宋体" w:hint="eastAsia"/>
          <w:color w:val="000000"/>
          <w:kern w:val="0"/>
          <w:sz w:val="24"/>
        </w:rPr>
        <w:t>对于中国证券登记结算有限责任公司实行T+0非担保交收的业务，基金管理人应在交易日14:00前将划款指令发送至基金托管人。因基金管理人指令传输不及时，致使资金未能及时划入中国证券登记结算有限责任公司指定交收账户所造成的损失由基金管理人承担。包括但不限于赔偿在该市场引起其他托管客户交易失败、赔偿因占用结算参与人最低备付金带来的利息损失。</w:t>
      </w:r>
    </w:p>
    <w:p w14:paraId="3DEF1052" w14:textId="77777777" w:rsidR="004E1659" w:rsidRDefault="00F42610">
      <w:pPr>
        <w:adjustRightInd w:val="0"/>
        <w:snapToGrid w:val="0"/>
        <w:spacing w:line="360" w:lineRule="auto"/>
        <w:ind w:firstLine="480"/>
        <w:rPr>
          <w:rFonts w:ascii="宋体" w:hAnsi="宋体" w:cs="宋体"/>
          <w:color w:val="000000"/>
          <w:kern w:val="0"/>
          <w:sz w:val="24"/>
        </w:rPr>
      </w:pPr>
      <w:r>
        <w:rPr>
          <w:rFonts w:ascii="宋体" w:hAnsi="宋体" w:cs="宋体"/>
          <w:color w:val="000000"/>
          <w:kern w:val="0"/>
          <w:sz w:val="24"/>
        </w:rPr>
        <w:lastRenderedPageBreak/>
        <w:t>3</w:t>
      </w:r>
      <w:r>
        <w:rPr>
          <w:rFonts w:ascii="宋体" w:hAnsi="宋体" w:cs="宋体" w:hint="eastAsia"/>
          <w:color w:val="000000"/>
          <w:kern w:val="0"/>
          <w:sz w:val="24"/>
        </w:rPr>
        <w:t>.交易记录、资金和证券</w:t>
      </w:r>
      <w:r>
        <w:rPr>
          <w:rFonts w:ascii="宋体" w:hAnsi="宋体" w:cs="Arial" w:hint="eastAsia"/>
          <w:sz w:val="24"/>
          <w:lang w:bidi="ar"/>
        </w:rPr>
        <w:t>/期货</w:t>
      </w:r>
      <w:r>
        <w:rPr>
          <w:rFonts w:ascii="宋体" w:hAnsi="宋体" w:cs="宋体" w:hint="eastAsia"/>
          <w:color w:val="000000"/>
          <w:kern w:val="0"/>
          <w:sz w:val="24"/>
        </w:rPr>
        <w:t>账目核对的时间和方式</w:t>
      </w:r>
    </w:p>
    <w:p w14:paraId="1751FF3F" w14:textId="77777777" w:rsidR="004E1659" w:rsidRDefault="00F42610">
      <w:pPr>
        <w:adjustRightInd w:val="0"/>
        <w:snapToGrid w:val="0"/>
        <w:spacing w:line="360" w:lineRule="auto"/>
        <w:ind w:firstLine="480"/>
        <w:rPr>
          <w:rFonts w:ascii="宋体" w:hAnsi="宋体" w:cs="宋体"/>
          <w:color w:val="000000"/>
          <w:kern w:val="0"/>
          <w:sz w:val="24"/>
        </w:rPr>
      </w:pPr>
      <w:r>
        <w:rPr>
          <w:rFonts w:ascii="宋体" w:hAnsi="宋体" w:cs="宋体" w:hint="eastAsia"/>
          <w:color w:val="000000"/>
          <w:kern w:val="0"/>
          <w:sz w:val="24"/>
        </w:rPr>
        <w:t>（1）交易记录的核对</w:t>
      </w:r>
    </w:p>
    <w:p w14:paraId="3FB9C51D" w14:textId="77777777" w:rsidR="004E1659" w:rsidRDefault="00F42610">
      <w:pPr>
        <w:pStyle w:val="a0"/>
        <w:adjustRightInd w:val="0"/>
        <w:snapToGrid w:val="0"/>
        <w:spacing w:line="360" w:lineRule="auto"/>
        <w:ind w:firstLine="480"/>
        <w:rPr>
          <w:rFonts w:ascii="宋体" w:hAnsi="宋体" w:cs="Arial"/>
          <w:sz w:val="24"/>
        </w:rPr>
      </w:pPr>
      <w:r>
        <w:rPr>
          <w:rFonts w:ascii="宋体" w:hAnsi="宋体" w:cs="Arial" w:hint="eastAsia"/>
          <w:sz w:val="24"/>
        </w:rPr>
        <w:t>基金管理人按日进行交易记录的核对。对外披露净值之前，必须保证当天所有实际交易记录与基金会计账簿上的交易记录完全一致。如果实际交易记录与会计账簿记录不一致，造成基金会计核算不完整或不真实，由此导致的直接损失由基金管理人承担。</w:t>
      </w:r>
    </w:p>
    <w:p w14:paraId="54CBD056" w14:textId="77777777" w:rsidR="004E1659" w:rsidRDefault="00F42610">
      <w:pPr>
        <w:adjustRightInd w:val="0"/>
        <w:snapToGrid w:val="0"/>
        <w:spacing w:line="360" w:lineRule="auto"/>
        <w:ind w:firstLine="480"/>
        <w:rPr>
          <w:rFonts w:ascii="宋体" w:hAnsi="宋体" w:cs="宋体"/>
          <w:color w:val="000000"/>
          <w:kern w:val="0"/>
          <w:sz w:val="24"/>
        </w:rPr>
      </w:pPr>
      <w:r>
        <w:rPr>
          <w:rFonts w:ascii="宋体" w:hAnsi="宋体" w:cs="宋体" w:hint="eastAsia"/>
          <w:color w:val="000000"/>
          <w:kern w:val="0"/>
          <w:sz w:val="24"/>
        </w:rPr>
        <w:t>（2）资金账目的核对</w:t>
      </w:r>
    </w:p>
    <w:p w14:paraId="2A04552D" w14:textId="77777777" w:rsidR="004E1659" w:rsidRDefault="00F42610">
      <w:pPr>
        <w:adjustRightInd w:val="0"/>
        <w:snapToGrid w:val="0"/>
        <w:spacing w:line="360" w:lineRule="auto"/>
        <w:ind w:firstLine="480"/>
        <w:rPr>
          <w:rFonts w:ascii="宋体" w:hAnsi="宋体" w:cs="宋体"/>
          <w:color w:val="000000"/>
          <w:kern w:val="0"/>
          <w:sz w:val="24"/>
        </w:rPr>
      </w:pPr>
      <w:r>
        <w:rPr>
          <w:rFonts w:ascii="宋体" w:hAnsi="宋体" w:cs="宋体" w:hint="eastAsia"/>
          <w:color w:val="000000"/>
          <w:kern w:val="0"/>
          <w:sz w:val="24"/>
        </w:rPr>
        <w:t>资金账目由基金管理人与基金托管人按日核实。</w:t>
      </w:r>
    </w:p>
    <w:p w14:paraId="03446256" w14:textId="77777777" w:rsidR="004E1659" w:rsidRDefault="00F42610">
      <w:pPr>
        <w:adjustRightInd w:val="0"/>
        <w:snapToGrid w:val="0"/>
        <w:spacing w:line="360" w:lineRule="auto"/>
        <w:ind w:firstLine="480"/>
        <w:rPr>
          <w:rFonts w:ascii="宋体" w:hAnsi="宋体" w:cs="宋体"/>
          <w:color w:val="000000"/>
          <w:kern w:val="0"/>
          <w:sz w:val="24"/>
        </w:rPr>
      </w:pPr>
      <w:r>
        <w:rPr>
          <w:rFonts w:ascii="宋体" w:hAnsi="宋体" w:cs="宋体" w:hint="eastAsia"/>
          <w:color w:val="000000"/>
          <w:kern w:val="0"/>
          <w:sz w:val="24"/>
        </w:rPr>
        <w:t>（3）证券、期货账目的核对</w:t>
      </w:r>
    </w:p>
    <w:p w14:paraId="717D3F8D" w14:textId="77777777" w:rsidR="004E1659" w:rsidRDefault="00F42610">
      <w:pPr>
        <w:pStyle w:val="a0"/>
        <w:adjustRightInd w:val="0"/>
        <w:snapToGrid w:val="0"/>
        <w:spacing w:line="360" w:lineRule="auto"/>
        <w:ind w:firstLine="480"/>
        <w:rPr>
          <w:rFonts w:ascii="宋体" w:hAnsi="宋体" w:cs="Arial"/>
          <w:sz w:val="24"/>
        </w:rPr>
      </w:pPr>
      <w:r>
        <w:rPr>
          <w:rFonts w:ascii="宋体" w:hAnsi="宋体" w:cs="Arial" w:hint="eastAsia"/>
          <w:sz w:val="24"/>
        </w:rPr>
        <w:t>基金管理人和基金托管人每个交易日结束后核对基金证券、期货账目，确保双方账目相符。</w:t>
      </w:r>
    </w:p>
    <w:p w14:paraId="6CFBFAE9" w14:textId="77777777" w:rsidR="004E1659" w:rsidRDefault="00F42610">
      <w:pPr>
        <w:adjustRightInd w:val="0"/>
        <w:snapToGrid w:val="0"/>
        <w:spacing w:line="360" w:lineRule="auto"/>
        <w:ind w:firstLine="480"/>
        <w:rPr>
          <w:rFonts w:ascii="宋体" w:hAnsi="宋体" w:cs="宋体"/>
          <w:color w:val="000000"/>
          <w:kern w:val="0"/>
          <w:sz w:val="24"/>
        </w:rPr>
      </w:pPr>
      <w:r>
        <w:rPr>
          <w:rFonts w:ascii="宋体" w:hAnsi="宋体" w:cs="宋体" w:hint="eastAsia"/>
          <w:color w:val="000000"/>
          <w:kern w:val="0"/>
          <w:sz w:val="24"/>
        </w:rPr>
        <w:t>（三）基金申购和赎回业务处理的基本规定</w:t>
      </w:r>
    </w:p>
    <w:p w14:paraId="19D5A2C6" w14:textId="77777777" w:rsidR="004E1659" w:rsidRDefault="00F42610">
      <w:pPr>
        <w:adjustRightInd w:val="0"/>
        <w:snapToGrid w:val="0"/>
        <w:spacing w:line="360" w:lineRule="auto"/>
        <w:ind w:firstLine="480"/>
        <w:rPr>
          <w:rFonts w:ascii="宋体" w:hAnsi="宋体" w:cs="宋体"/>
          <w:color w:val="000000"/>
          <w:kern w:val="0"/>
          <w:sz w:val="24"/>
        </w:rPr>
      </w:pPr>
      <w:r>
        <w:rPr>
          <w:rFonts w:ascii="宋体" w:hAnsi="宋体" w:cs="宋体" w:hint="eastAsia"/>
          <w:color w:val="000000"/>
          <w:kern w:val="0"/>
          <w:sz w:val="24"/>
        </w:rPr>
        <w:t>1.基金份额申购、赎回的确认、清算由基金管理人或其委托的登记机构负责。</w:t>
      </w:r>
    </w:p>
    <w:p w14:paraId="33D24F96" w14:textId="77777777" w:rsidR="004E1659" w:rsidRDefault="00F42610">
      <w:pPr>
        <w:adjustRightInd w:val="0"/>
        <w:snapToGrid w:val="0"/>
        <w:spacing w:line="360" w:lineRule="auto"/>
        <w:ind w:firstLine="480"/>
        <w:rPr>
          <w:rFonts w:ascii="宋体" w:hAnsi="宋体" w:cs="宋体"/>
          <w:color w:val="000000"/>
          <w:kern w:val="0"/>
          <w:sz w:val="24"/>
        </w:rPr>
      </w:pPr>
      <w:r>
        <w:rPr>
          <w:rFonts w:ascii="宋体" w:hAnsi="宋体" w:cs="宋体" w:hint="eastAsia"/>
          <w:color w:val="000000"/>
          <w:kern w:val="0"/>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2643F62D" w14:textId="77777777" w:rsidR="004E1659" w:rsidRDefault="00F42610">
      <w:pPr>
        <w:adjustRightInd w:val="0"/>
        <w:snapToGrid w:val="0"/>
        <w:spacing w:line="360" w:lineRule="auto"/>
        <w:ind w:firstLine="480"/>
        <w:rPr>
          <w:rFonts w:ascii="宋体" w:hAnsi="宋体" w:cs="宋体"/>
          <w:color w:val="000000"/>
          <w:kern w:val="0"/>
          <w:sz w:val="24"/>
        </w:rPr>
      </w:pPr>
      <w:r>
        <w:rPr>
          <w:rFonts w:ascii="宋体" w:hAnsi="宋体" w:cs="宋体" w:hint="eastAsia"/>
          <w:color w:val="000000"/>
          <w:kern w:val="0"/>
          <w:sz w:val="24"/>
        </w:rPr>
        <w:t>3.基金管理人应保证本基金（或本基金管理人委托）的登记机构每个工作日15:00前向基金托管人发送前一开放日上述有关数据，并保证相关数据的准确、完整。</w:t>
      </w:r>
    </w:p>
    <w:p w14:paraId="1847D72B" w14:textId="77777777" w:rsidR="004E1659" w:rsidRDefault="00F42610">
      <w:pPr>
        <w:adjustRightInd w:val="0"/>
        <w:snapToGrid w:val="0"/>
        <w:spacing w:line="360" w:lineRule="auto"/>
        <w:ind w:firstLine="480"/>
        <w:rPr>
          <w:rFonts w:ascii="宋体" w:hAnsi="宋体" w:cs="宋体"/>
          <w:color w:val="000000"/>
          <w:kern w:val="0"/>
          <w:sz w:val="24"/>
        </w:rPr>
      </w:pPr>
      <w:r>
        <w:rPr>
          <w:rFonts w:ascii="宋体" w:hAnsi="宋体" w:cs="宋体" w:hint="eastAsia"/>
          <w:color w:val="000000"/>
          <w:kern w:val="0"/>
          <w:sz w:val="24"/>
        </w:rPr>
        <w:t>4.</w:t>
      </w:r>
      <w:r>
        <w:rPr>
          <w:rFonts w:ascii="宋体" w:hAnsi="宋体" w:cs="Arial" w:hint="eastAsia"/>
          <w:sz w:val="24"/>
        </w:rPr>
        <w:t xml:space="preserve"> 登记机构应通过与基金托管人建立的加密系统发送有关数据，如因各种原因，该系统无法正常发送，双方可协商解决处理方式。基金管理人向基金托管人发送的数据，双方各自按有关规定保存。</w:t>
      </w:r>
    </w:p>
    <w:p w14:paraId="171656A7" w14:textId="77777777" w:rsidR="004E1659" w:rsidRDefault="00F42610">
      <w:pPr>
        <w:adjustRightInd w:val="0"/>
        <w:snapToGrid w:val="0"/>
        <w:spacing w:line="360" w:lineRule="auto"/>
        <w:ind w:firstLine="480"/>
        <w:rPr>
          <w:rFonts w:ascii="宋体" w:hAnsi="宋体" w:cs="宋体"/>
          <w:color w:val="000000"/>
          <w:kern w:val="0"/>
          <w:sz w:val="24"/>
        </w:rPr>
      </w:pPr>
      <w:r>
        <w:rPr>
          <w:rFonts w:ascii="宋体" w:hAnsi="宋体" w:cs="宋体" w:hint="eastAsia"/>
          <w:color w:val="000000"/>
          <w:kern w:val="0"/>
          <w:sz w:val="24"/>
        </w:rPr>
        <w:t>5.如基金管理人委托其他机构办理本基金的登记业务，应保证上述相关事宜按时进行。否则，由基金管理人承担相应的责任。</w:t>
      </w:r>
    </w:p>
    <w:p w14:paraId="4F0709D4" w14:textId="77777777" w:rsidR="004E1659" w:rsidRDefault="00F42610">
      <w:pPr>
        <w:adjustRightInd w:val="0"/>
        <w:snapToGrid w:val="0"/>
        <w:spacing w:line="360" w:lineRule="auto"/>
        <w:ind w:firstLine="480"/>
        <w:rPr>
          <w:rFonts w:ascii="宋体" w:hAnsi="宋体" w:cs="宋体"/>
          <w:color w:val="000000"/>
          <w:kern w:val="0"/>
          <w:sz w:val="24"/>
        </w:rPr>
      </w:pPr>
      <w:r>
        <w:rPr>
          <w:rFonts w:ascii="宋体" w:hAnsi="宋体" w:cs="宋体" w:hint="eastAsia"/>
          <w:color w:val="000000"/>
          <w:kern w:val="0"/>
          <w:sz w:val="24"/>
        </w:rPr>
        <w:t>6.关于清算专用账户的设立和管理</w:t>
      </w:r>
    </w:p>
    <w:p w14:paraId="5C10D697" w14:textId="77777777" w:rsidR="004E1659" w:rsidRDefault="00F42610">
      <w:pPr>
        <w:adjustRightInd w:val="0"/>
        <w:snapToGrid w:val="0"/>
        <w:spacing w:line="360" w:lineRule="auto"/>
        <w:ind w:firstLine="480"/>
        <w:rPr>
          <w:rFonts w:ascii="宋体" w:hAnsi="宋体" w:cs="宋体"/>
          <w:color w:val="000000"/>
          <w:kern w:val="0"/>
          <w:sz w:val="24"/>
        </w:rPr>
      </w:pPr>
      <w:r>
        <w:rPr>
          <w:rFonts w:ascii="宋体" w:hAnsi="宋体" w:cs="宋体" w:hint="eastAsia"/>
          <w:color w:val="000000"/>
          <w:kern w:val="0"/>
          <w:sz w:val="24"/>
        </w:rPr>
        <w:t>为满足申购、赎回及分红资金汇划的需要，由基金管理人开立资金清算的专用账户，该账户由登记机构管理。</w:t>
      </w:r>
    </w:p>
    <w:p w14:paraId="0D055120" w14:textId="77777777" w:rsidR="004E1659" w:rsidRDefault="00F42610">
      <w:pPr>
        <w:adjustRightInd w:val="0"/>
        <w:snapToGrid w:val="0"/>
        <w:spacing w:line="360" w:lineRule="auto"/>
        <w:ind w:firstLine="480"/>
        <w:rPr>
          <w:rFonts w:ascii="宋体" w:hAnsi="宋体" w:cs="宋体"/>
          <w:color w:val="000000"/>
          <w:kern w:val="0"/>
          <w:sz w:val="24"/>
        </w:rPr>
      </w:pPr>
      <w:r>
        <w:rPr>
          <w:rFonts w:ascii="宋体" w:hAnsi="宋体" w:cs="宋体" w:hint="eastAsia"/>
          <w:color w:val="000000"/>
          <w:kern w:val="0"/>
          <w:sz w:val="24"/>
        </w:rPr>
        <w:t>7.对于基金申购过程中产生的应收款，应由基金管理人负责与有关当事人确定到账日期并通知基金托管人，到账日应收款没有到达基金托管资金账户的，基</w:t>
      </w:r>
      <w:r>
        <w:rPr>
          <w:rFonts w:ascii="宋体" w:hAnsi="宋体" w:cs="宋体" w:hint="eastAsia"/>
          <w:color w:val="000000"/>
          <w:kern w:val="0"/>
          <w:sz w:val="24"/>
        </w:rPr>
        <w:lastRenderedPageBreak/>
        <w:t>金托管人应及时通知基金管理人采取措施进行催收，由此造成基金损失的，基金管理人应负责向有关当事人追偿基金的损失，基金托管人应予以必要的协助和配合。</w:t>
      </w:r>
    </w:p>
    <w:p w14:paraId="2005EC2E" w14:textId="77777777" w:rsidR="004E1659" w:rsidRDefault="00F42610">
      <w:pPr>
        <w:adjustRightInd w:val="0"/>
        <w:snapToGrid w:val="0"/>
        <w:spacing w:line="360" w:lineRule="auto"/>
        <w:ind w:firstLine="480"/>
        <w:rPr>
          <w:rFonts w:ascii="宋体" w:hAnsi="宋体" w:cs="宋体"/>
          <w:color w:val="000000"/>
          <w:kern w:val="0"/>
          <w:sz w:val="24"/>
        </w:rPr>
      </w:pPr>
      <w:r>
        <w:rPr>
          <w:rFonts w:ascii="宋体" w:hAnsi="宋体" w:cs="宋体" w:hint="eastAsia"/>
          <w:color w:val="000000"/>
          <w:kern w:val="0"/>
          <w:sz w:val="24"/>
        </w:rPr>
        <w:t>8.赎回和分红资金划拨规定</w:t>
      </w:r>
    </w:p>
    <w:p w14:paraId="1E4252FD" w14:textId="77777777" w:rsidR="004E1659" w:rsidRDefault="00F42610">
      <w:pPr>
        <w:adjustRightInd w:val="0"/>
        <w:snapToGrid w:val="0"/>
        <w:spacing w:line="360" w:lineRule="auto"/>
        <w:ind w:firstLine="480"/>
        <w:rPr>
          <w:rFonts w:ascii="宋体" w:hAnsi="宋体" w:cs="宋体"/>
          <w:color w:val="000000"/>
          <w:kern w:val="0"/>
          <w:sz w:val="24"/>
        </w:rPr>
      </w:pPr>
      <w:r>
        <w:rPr>
          <w:rFonts w:ascii="宋体" w:hAnsi="宋体" w:cs="宋体" w:hint="eastAsia"/>
          <w:color w:val="000000"/>
          <w:kern w:val="0"/>
          <w:sz w:val="24"/>
        </w:rPr>
        <w:t>拨付赎回款或进行基金分红时，如基金托管资金账户有足够的资金，基金托管人应按时拨付；因基金托管资金账户没有足够的资金，导致基金托管人不能按时拨付，基金托管人应及时通知基金管理人，如系基金管理人的原因造成，责任由基金管理人承担，基金托管人不承担垫款义务。</w:t>
      </w:r>
    </w:p>
    <w:p w14:paraId="7176892D" w14:textId="77777777" w:rsidR="004E1659" w:rsidRDefault="00F42610">
      <w:pPr>
        <w:adjustRightInd w:val="0"/>
        <w:snapToGrid w:val="0"/>
        <w:spacing w:line="360" w:lineRule="auto"/>
        <w:ind w:firstLine="480"/>
        <w:rPr>
          <w:rFonts w:ascii="宋体" w:hAnsi="宋体" w:cs="宋体"/>
          <w:color w:val="000000"/>
          <w:kern w:val="0"/>
          <w:sz w:val="24"/>
        </w:rPr>
      </w:pPr>
      <w:r>
        <w:rPr>
          <w:rFonts w:ascii="宋体" w:hAnsi="宋体" w:cs="宋体" w:hint="eastAsia"/>
          <w:color w:val="000000"/>
          <w:kern w:val="0"/>
          <w:sz w:val="24"/>
        </w:rPr>
        <w:t>9.资金指令</w:t>
      </w:r>
    </w:p>
    <w:p w14:paraId="6B79784F" w14:textId="77777777" w:rsidR="004E1659" w:rsidRDefault="00F42610">
      <w:pPr>
        <w:adjustRightInd w:val="0"/>
        <w:snapToGrid w:val="0"/>
        <w:spacing w:line="360" w:lineRule="auto"/>
        <w:ind w:firstLine="480"/>
        <w:rPr>
          <w:rFonts w:ascii="宋体" w:hAnsi="宋体" w:cs="宋体"/>
          <w:color w:val="000000"/>
          <w:kern w:val="0"/>
          <w:sz w:val="24"/>
        </w:rPr>
      </w:pPr>
      <w:r>
        <w:rPr>
          <w:rFonts w:ascii="宋体" w:hAnsi="宋体" w:cs="宋体" w:hint="eastAsia"/>
          <w:color w:val="000000"/>
          <w:kern w:val="0"/>
          <w:sz w:val="24"/>
        </w:rPr>
        <w:t>除申购款项到达基金托管资金账户需双方按约定方式对账外，回购到期付款和与投资有关的付款、赎回和分红资金划拨时，基金管理人需向基金托管人下达指令。</w:t>
      </w:r>
    </w:p>
    <w:p w14:paraId="2E095D5F" w14:textId="77777777" w:rsidR="004E1659" w:rsidRDefault="00F42610">
      <w:pPr>
        <w:adjustRightInd w:val="0"/>
        <w:snapToGrid w:val="0"/>
        <w:spacing w:line="360" w:lineRule="auto"/>
        <w:ind w:firstLine="480"/>
        <w:rPr>
          <w:rFonts w:ascii="宋体" w:hAnsi="宋体" w:cs="宋体"/>
          <w:color w:val="000000"/>
          <w:kern w:val="0"/>
          <w:sz w:val="24"/>
        </w:rPr>
      </w:pPr>
      <w:r>
        <w:rPr>
          <w:rFonts w:ascii="宋体" w:hAnsi="宋体" w:cs="宋体" w:hint="eastAsia"/>
          <w:color w:val="000000"/>
          <w:kern w:val="0"/>
          <w:sz w:val="24"/>
        </w:rPr>
        <w:t>资金指令的格式、内容、发送、接收和确认方式等与投资指令相同。</w:t>
      </w:r>
    </w:p>
    <w:p w14:paraId="384FC3EE" w14:textId="77777777" w:rsidR="004E1659" w:rsidRDefault="00F42610">
      <w:pPr>
        <w:adjustRightInd w:val="0"/>
        <w:snapToGrid w:val="0"/>
        <w:spacing w:line="360" w:lineRule="auto"/>
        <w:ind w:firstLine="480"/>
        <w:rPr>
          <w:rFonts w:ascii="宋体" w:hAnsi="宋体" w:cs="宋体"/>
          <w:color w:val="000000"/>
          <w:kern w:val="0"/>
          <w:sz w:val="24"/>
        </w:rPr>
      </w:pPr>
      <w:r>
        <w:rPr>
          <w:rFonts w:ascii="宋体" w:hAnsi="宋体" w:cs="宋体" w:hint="eastAsia"/>
          <w:color w:val="000000"/>
          <w:kern w:val="0"/>
          <w:sz w:val="24"/>
        </w:rPr>
        <w:t>（四）申赎净额结算</w:t>
      </w:r>
    </w:p>
    <w:p w14:paraId="671C40B3" w14:textId="77777777" w:rsidR="004E1659" w:rsidRDefault="00F42610">
      <w:pPr>
        <w:adjustRightInd w:val="0"/>
        <w:snapToGrid w:val="0"/>
        <w:spacing w:line="360" w:lineRule="auto"/>
        <w:ind w:firstLine="480"/>
        <w:rPr>
          <w:rFonts w:ascii="宋体" w:hAnsi="宋体" w:cs="Arial"/>
          <w:sz w:val="24"/>
        </w:rPr>
      </w:pPr>
      <w:r>
        <w:rPr>
          <w:rFonts w:ascii="宋体" w:hAnsi="宋体" w:cs="宋体" w:hint="eastAsia"/>
          <w:color w:val="000000"/>
          <w:kern w:val="0"/>
          <w:sz w:val="24"/>
        </w:rPr>
        <w:t>基金托管资金账户与“基金清算账户”间的资金结算遵循“全额清算、净额交收”的原则，每日按照托管资金账户应收资金与应付资金的差额来确定托管资金账户净应收额或净应付额，以此确定资金交收额。当存在托管资金账户净应收额时，基金管理人应在资金交收日</w:t>
      </w:r>
      <w:r>
        <w:rPr>
          <w:rFonts w:ascii="宋体" w:hAnsi="宋体" w:cs="宋体"/>
          <w:color w:val="000000"/>
          <w:kern w:val="0"/>
          <w:sz w:val="24"/>
        </w:rPr>
        <w:t>15:00之前从基金清算账户划到基金托管</w:t>
      </w:r>
      <w:r>
        <w:rPr>
          <w:rFonts w:ascii="宋体" w:hAnsi="宋体" w:cs="宋体" w:hint="eastAsia"/>
          <w:color w:val="000000"/>
          <w:kern w:val="0"/>
          <w:sz w:val="24"/>
        </w:rPr>
        <w:t>资金账户；当存在托管资金账户净应付额时，基金管理人应在资金交收日</w:t>
      </w:r>
      <w:r>
        <w:rPr>
          <w:rFonts w:ascii="宋体" w:hAnsi="宋体" w:cs="宋体"/>
          <w:color w:val="000000"/>
          <w:kern w:val="0"/>
          <w:sz w:val="24"/>
        </w:rPr>
        <w:t>10:00前</w:t>
      </w:r>
      <w:r>
        <w:rPr>
          <w:rFonts w:ascii="宋体" w:hAnsi="宋体" w:cs="宋体" w:hint="eastAsia"/>
          <w:color w:val="000000"/>
          <w:kern w:val="0"/>
          <w:sz w:val="24"/>
        </w:rPr>
        <w:t>将划款指令发送给基金托管人，基金托管人按基金管理人的划款指令将托管资金账户净应付额在</w:t>
      </w:r>
      <w:r>
        <w:rPr>
          <w:rFonts w:ascii="宋体" w:hAnsi="宋体" w:cs="宋体"/>
          <w:color w:val="000000"/>
          <w:kern w:val="0"/>
          <w:sz w:val="24"/>
        </w:rPr>
        <w:t>资金交收日15:00</w:t>
      </w:r>
      <w:r>
        <w:rPr>
          <w:rFonts w:ascii="宋体" w:hAnsi="宋体" w:cs="宋体" w:hint="eastAsia"/>
          <w:color w:val="000000"/>
          <w:kern w:val="0"/>
          <w:sz w:val="24"/>
        </w:rPr>
        <w:t>之前划往基金清算账户。</w:t>
      </w:r>
    </w:p>
    <w:p w14:paraId="41EAF88E" w14:textId="77777777" w:rsidR="004E1659" w:rsidRDefault="00F42610">
      <w:pPr>
        <w:adjustRightInd w:val="0"/>
        <w:snapToGrid w:val="0"/>
        <w:spacing w:line="360" w:lineRule="auto"/>
        <w:ind w:firstLine="480"/>
        <w:rPr>
          <w:rFonts w:ascii="宋体" w:hAnsi="宋体" w:cs="宋体"/>
          <w:color w:val="000000"/>
          <w:kern w:val="0"/>
          <w:sz w:val="24"/>
        </w:rPr>
      </w:pPr>
      <w:r>
        <w:rPr>
          <w:rFonts w:ascii="宋体" w:hAnsi="宋体" w:cs="宋体" w:hint="eastAsia"/>
          <w:color w:val="000000"/>
          <w:kern w:val="0"/>
          <w:sz w:val="24"/>
        </w:rPr>
        <w:t>（五）基金转换</w:t>
      </w:r>
    </w:p>
    <w:p w14:paraId="6E4E3E25" w14:textId="77777777" w:rsidR="004E1659" w:rsidRDefault="00F42610">
      <w:pPr>
        <w:adjustRightInd w:val="0"/>
        <w:snapToGrid w:val="0"/>
        <w:spacing w:line="360" w:lineRule="auto"/>
        <w:ind w:firstLine="480"/>
        <w:rPr>
          <w:rFonts w:ascii="宋体" w:hAnsi="宋体" w:cs="宋体"/>
          <w:color w:val="000000"/>
          <w:kern w:val="0"/>
          <w:sz w:val="24"/>
        </w:rPr>
      </w:pPr>
      <w:r>
        <w:rPr>
          <w:rFonts w:ascii="宋体" w:hAnsi="宋体" w:cs="宋体" w:hint="eastAsia"/>
          <w:color w:val="000000"/>
          <w:kern w:val="0"/>
          <w:sz w:val="24"/>
        </w:rPr>
        <w:t>1.在本基金开展转换业务之前，基金管理人应函告基金托管人并就相关事宜进行协商。</w:t>
      </w:r>
    </w:p>
    <w:p w14:paraId="4AB2F41F" w14:textId="77777777" w:rsidR="004E1659" w:rsidRDefault="00F42610">
      <w:pPr>
        <w:adjustRightInd w:val="0"/>
        <w:snapToGrid w:val="0"/>
        <w:spacing w:line="360" w:lineRule="auto"/>
        <w:ind w:firstLine="480"/>
        <w:rPr>
          <w:rFonts w:ascii="宋体" w:hAnsi="宋体" w:cs="宋体"/>
          <w:color w:val="000000"/>
          <w:kern w:val="0"/>
          <w:sz w:val="24"/>
        </w:rPr>
      </w:pPr>
      <w:r>
        <w:rPr>
          <w:rFonts w:ascii="宋体" w:hAnsi="宋体" w:cs="宋体" w:hint="eastAsia"/>
          <w:color w:val="000000"/>
          <w:kern w:val="0"/>
          <w:sz w:val="24"/>
        </w:rPr>
        <w:t>2.基金托管人将根据基金管理人传送的基金转换数据进行账务处理，具体资金清算和数据传递的时间、程序及托管协议当事人承担的权责按基金管理人届时的公告执行。</w:t>
      </w:r>
    </w:p>
    <w:p w14:paraId="4E4C2BA4" w14:textId="77777777" w:rsidR="004E1659" w:rsidRDefault="00F42610">
      <w:pPr>
        <w:adjustRightInd w:val="0"/>
        <w:snapToGrid w:val="0"/>
        <w:spacing w:line="360" w:lineRule="auto"/>
        <w:ind w:firstLine="480"/>
        <w:rPr>
          <w:rFonts w:ascii="宋体" w:hAnsi="宋体" w:cs="宋体"/>
          <w:color w:val="000000"/>
          <w:kern w:val="0"/>
          <w:sz w:val="24"/>
        </w:rPr>
      </w:pPr>
      <w:r>
        <w:rPr>
          <w:rFonts w:ascii="宋体" w:hAnsi="宋体" w:cs="宋体" w:hint="eastAsia"/>
          <w:color w:val="000000"/>
          <w:kern w:val="0"/>
          <w:sz w:val="24"/>
        </w:rPr>
        <w:t>3.本基金开展基金转换业务应按相关法律法规规定及《基金合同》的约定进行公告。</w:t>
      </w:r>
    </w:p>
    <w:p w14:paraId="5B331F5F" w14:textId="77777777" w:rsidR="004E1659" w:rsidRDefault="00F42610">
      <w:pPr>
        <w:adjustRightInd w:val="0"/>
        <w:snapToGrid w:val="0"/>
        <w:spacing w:line="360" w:lineRule="auto"/>
        <w:ind w:firstLine="480"/>
        <w:rPr>
          <w:rFonts w:ascii="宋体" w:hAnsi="宋体" w:cs="宋体"/>
          <w:color w:val="000000"/>
          <w:kern w:val="0"/>
          <w:sz w:val="24"/>
        </w:rPr>
      </w:pPr>
      <w:r>
        <w:rPr>
          <w:rFonts w:ascii="宋体" w:hAnsi="宋体" w:cs="宋体" w:hint="eastAsia"/>
          <w:color w:val="000000"/>
          <w:kern w:val="0"/>
          <w:sz w:val="24"/>
        </w:rPr>
        <w:t>（六）基金现金分红</w:t>
      </w:r>
    </w:p>
    <w:p w14:paraId="534775D3" w14:textId="77777777" w:rsidR="004E1659" w:rsidRDefault="00F42610">
      <w:pPr>
        <w:adjustRightInd w:val="0"/>
        <w:snapToGrid w:val="0"/>
        <w:spacing w:line="360" w:lineRule="auto"/>
        <w:ind w:firstLine="480"/>
        <w:rPr>
          <w:rFonts w:ascii="宋体" w:hAnsi="宋体" w:cs="宋体"/>
          <w:color w:val="000000"/>
          <w:kern w:val="0"/>
          <w:sz w:val="24"/>
        </w:rPr>
      </w:pPr>
      <w:r>
        <w:rPr>
          <w:rFonts w:ascii="宋体" w:hAnsi="宋体" w:cs="宋体" w:hint="eastAsia"/>
          <w:color w:val="000000"/>
          <w:kern w:val="0"/>
          <w:sz w:val="24"/>
        </w:rPr>
        <w:lastRenderedPageBreak/>
        <w:t>1.基金管理人确定分红方案通知基金托管人，双方核定后依照《信息披露办法》的有关规定在规定媒介上公告。</w:t>
      </w:r>
    </w:p>
    <w:p w14:paraId="777FF238" w14:textId="77777777" w:rsidR="004E1659" w:rsidRDefault="00F42610">
      <w:pPr>
        <w:adjustRightInd w:val="0"/>
        <w:snapToGrid w:val="0"/>
        <w:spacing w:line="360" w:lineRule="auto"/>
        <w:ind w:firstLine="480"/>
        <w:rPr>
          <w:rFonts w:ascii="宋体" w:hAnsi="宋体" w:cs="宋体"/>
          <w:color w:val="000000"/>
          <w:kern w:val="0"/>
          <w:sz w:val="24"/>
        </w:rPr>
      </w:pPr>
      <w:r>
        <w:rPr>
          <w:rFonts w:ascii="宋体" w:hAnsi="宋体" w:cs="宋体" w:hint="eastAsia"/>
          <w:color w:val="000000"/>
          <w:kern w:val="0"/>
          <w:sz w:val="24"/>
        </w:rPr>
        <w:t>2.基金托管人和基金管理人对基金分红进行账务处理并核对后，基金管理人向基金托管人发送现金红利的划款指令，基金托管人应及时将资金划入专用账户。</w:t>
      </w:r>
    </w:p>
    <w:p w14:paraId="027C54FE" w14:textId="77777777" w:rsidR="004E1659" w:rsidRDefault="00F42610">
      <w:pPr>
        <w:adjustRightInd w:val="0"/>
        <w:snapToGrid w:val="0"/>
        <w:spacing w:line="360" w:lineRule="auto"/>
        <w:ind w:firstLine="480"/>
        <w:rPr>
          <w:rFonts w:ascii="宋体" w:hAnsi="宋体" w:cs="宋体"/>
          <w:color w:val="000000"/>
          <w:kern w:val="0"/>
          <w:sz w:val="24"/>
        </w:rPr>
      </w:pPr>
      <w:r>
        <w:rPr>
          <w:rFonts w:ascii="宋体" w:hAnsi="宋体" w:cs="宋体" w:hint="eastAsia"/>
          <w:color w:val="000000"/>
          <w:kern w:val="0"/>
          <w:sz w:val="24"/>
        </w:rPr>
        <w:t>3.基金管理人在下达指令时，应给基金托管人留出必需的划款时间。</w:t>
      </w:r>
    </w:p>
    <w:p w14:paraId="76D5577B" w14:textId="77777777" w:rsidR="004E1659" w:rsidRDefault="00F42610">
      <w:pPr>
        <w:adjustRightInd w:val="0"/>
        <w:snapToGrid w:val="0"/>
        <w:spacing w:line="360" w:lineRule="auto"/>
        <w:ind w:firstLine="480"/>
        <w:rPr>
          <w:rFonts w:ascii="宋体" w:hAnsi="宋体" w:cs="宋体"/>
          <w:color w:val="000000"/>
          <w:kern w:val="0"/>
          <w:sz w:val="24"/>
        </w:rPr>
      </w:pPr>
      <w:r>
        <w:rPr>
          <w:rFonts w:ascii="宋体" w:hAnsi="宋体" w:cs="宋体" w:hint="eastAsia"/>
          <w:color w:val="000000"/>
          <w:kern w:val="0"/>
          <w:sz w:val="24"/>
        </w:rPr>
        <w:t>（七）投资银行存款的特别约定</w:t>
      </w:r>
    </w:p>
    <w:p w14:paraId="718A0743" w14:textId="77777777" w:rsidR="004E1659" w:rsidRDefault="00F42610">
      <w:pPr>
        <w:adjustRightInd w:val="0"/>
        <w:snapToGrid w:val="0"/>
        <w:spacing w:line="360" w:lineRule="auto"/>
        <w:ind w:firstLine="480"/>
        <w:rPr>
          <w:rFonts w:ascii="宋体" w:hAnsi="宋体" w:cs="宋体"/>
          <w:color w:val="000000"/>
          <w:kern w:val="0"/>
          <w:sz w:val="24"/>
        </w:rPr>
      </w:pPr>
      <w:r>
        <w:rPr>
          <w:rFonts w:ascii="宋体" w:hAnsi="宋体" w:cs="宋体" w:hint="eastAsia"/>
          <w:color w:val="000000"/>
          <w:kern w:val="0"/>
          <w:sz w:val="24"/>
        </w:rPr>
        <w:t>1.本基金投资银行存款前，基金管理人应与存款银行签订具体存款协议，包括但不限于以下内容：</w:t>
      </w:r>
    </w:p>
    <w:p w14:paraId="574596BD" w14:textId="77777777" w:rsidR="004E1659" w:rsidRDefault="00F42610">
      <w:pPr>
        <w:adjustRightInd w:val="0"/>
        <w:snapToGrid w:val="0"/>
        <w:spacing w:line="360" w:lineRule="auto"/>
        <w:ind w:firstLine="480"/>
        <w:rPr>
          <w:rFonts w:ascii="宋体" w:hAnsi="宋体" w:cs="宋体"/>
          <w:color w:val="000000"/>
          <w:kern w:val="0"/>
          <w:sz w:val="24"/>
        </w:rPr>
      </w:pPr>
      <w:r>
        <w:rPr>
          <w:rFonts w:ascii="宋体" w:hAnsi="宋体" w:cs="宋体" w:hint="eastAsia"/>
          <w:color w:val="000000"/>
          <w:kern w:val="0"/>
          <w:sz w:val="24"/>
        </w:rPr>
        <w:t>（1）存款账户必须以本基金名义开立，并将基金托管人为本基金开立的基金托管资金账户指定为唯一回款账户，任何情况下，存款银行都不得将存款投资本息划往任何其他账户。</w:t>
      </w:r>
    </w:p>
    <w:p w14:paraId="23B4C52D" w14:textId="77777777" w:rsidR="004E1659" w:rsidRDefault="00F42610">
      <w:pPr>
        <w:adjustRightInd w:val="0"/>
        <w:snapToGrid w:val="0"/>
        <w:spacing w:line="360" w:lineRule="auto"/>
        <w:ind w:firstLine="480"/>
        <w:rPr>
          <w:rFonts w:ascii="宋体" w:hAnsi="宋体" w:cs="宋体"/>
          <w:color w:val="000000"/>
          <w:kern w:val="0"/>
          <w:sz w:val="24"/>
        </w:rPr>
      </w:pPr>
      <w:r>
        <w:rPr>
          <w:rFonts w:ascii="宋体" w:hAnsi="宋体" w:cs="宋体" w:hint="eastAsia"/>
          <w:color w:val="000000"/>
          <w:kern w:val="0"/>
          <w:sz w:val="24"/>
        </w:rPr>
        <w:t>（2）存款银行不得接受基金管理人或基金托管人任何一方单方面提出的对存款进行更名、转让、挂失、质押、担保、撤销、变更印鉴及回款账户信息等可能导致财产转移的操作申请。</w:t>
      </w:r>
    </w:p>
    <w:p w14:paraId="68FD1421" w14:textId="77777777" w:rsidR="004E1659" w:rsidRDefault="00F42610">
      <w:pPr>
        <w:adjustRightInd w:val="0"/>
        <w:snapToGrid w:val="0"/>
        <w:spacing w:line="360" w:lineRule="auto"/>
        <w:ind w:firstLine="480"/>
        <w:rPr>
          <w:rFonts w:ascii="宋体" w:hAnsi="宋体" w:cs="宋体"/>
          <w:color w:val="000000"/>
          <w:kern w:val="0"/>
          <w:sz w:val="24"/>
        </w:rPr>
      </w:pPr>
      <w:r>
        <w:rPr>
          <w:rFonts w:ascii="宋体" w:hAnsi="宋体" w:cs="宋体" w:hint="eastAsia"/>
          <w:color w:val="000000"/>
          <w:kern w:val="0"/>
          <w:sz w:val="24"/>
        </w:rPr>
        <w:t>（3）约定存款证实书的具体传递交接方式及交接期限。</w:t>
      </w:r>
    </w:p>
    <w:p w14:paraId="4FFA2C73" w14:textId="77777777" w:rsidR="004E1659" w:rsidRDefault="00F42610">
      <w:pPr>
        <w:adjustRightInd w:val="0"/>
        <w:snapToGrid w:val="0"/>
        <w:spacing w:line="360" w:lineRule="auto"/>
        <w:ind w:firstLine="480"/>
        <w:rPr>
          <w:rFonts w:ascii="宋体" w:hAnsi="宋体" w:cs="宋体"/>
          <w:color w:val="000000"/>
          <w:kern w:val="0"/>
          <w:sz w:val="24"/>
        </w:rPr>
      </w:pPr>
      <w:r>
        <w:rPr>
          <w:rFonts w:ascii="宋体" w:hAnsi="宋体" w:cs="宋体" w:hint="eastAsia"/>
          <w:color w:val="000000"/>
          <w:kern w:val="0"/>
          <w:sz w:val="24"/>
        </w:rPr>
        <w:t>（4）资金划转过程中需要使用存款银行过渡账户的，存款银行须保证资金在过渡账户中不出现滞留，不被挪用。</w:t>
      </w:r>
    </w:p>
    <w:p w14:paraId="4B881849" w14:textId="77777777" w:rsidR="004E1659" w:rsidRDefault="00F42610">
      <w:pPr>
        <w:adjustRightInd w:val="0"/>
        <w:snapToGrid w:val="0"/>
        <w:spacing w:line="360" w:lineRule="auto"/>
        <w:ind w:firstLine="480"/>
        <w:rPr>
          <w:rFonts w:ascii="宋体" w:hAnsi="宋体" w:cs="宋体"/>
          <w:color w:val="000000"/>
          <w:kern w:val="0"/>
          <w:sz w:val="24"/>
        </w:rPr>
      </w:pPr>
      <w:r>
        <w:rPr>
          <w:rFonts w:ascii="宋体" w:hAnsi="宋体" w:cs="宋体" w:hint="eastAsia"/>
          <w:color w:val="000000"/>
          <w:kern w:val="0"/>
          <w:sz w:val="24"/>
        </w:rPr>
        <w:t>2.本基金投资银行存款，必须采用双方认可的方式办理。基金托管人负责依据基金管理人提供的银行存款投资合同/协议、投资指令、支取通知等有关文件办理资金的支付以及存款证实书的接收、保管与交付，切实履行托管职责。基金托管人负责对存款开户证实书进行保管，不负责对存款开户证实书真伪的辨别，不承担存款开户证实书对应存款的本金及收益的安全。</w:t>
      </w:r>
    </w:p>
    <w:p w14:paraId="3F188090" w14:textId="77777777" w:rsidR="004E1659" w:rsidRDefault="00F42610">
      <w:pPr>
        <w:adjustRightInd w:val="0"/>
        <w:snapToGrid w:val="0"/>
        <w:spacing w:line="360" w:lineRule="auto"/>
        <w:ind w:firstLine="480"/>
        <w:rPr>
          <w:rFonts w:ascii="宋体" w:hAnsi="宋体" w:cs="宋体"/>
          <w:color w:val="000000"/>
          <w:kern w:val="0"/>
          <w:sz w:val="24"/>
        </w:rPr>
      </w:pPr>
      <w:r>
        <w:rPr>
          <w:rFonts w:ascii="宋体" w:hAnsi="宋体" w:cs="宋体" w:hint="eastAsia"/>
          <w:color w:val="000000"/>
          <w:kern w:val="0"/>
          <w:sz w:val="24"/>
        </w:rPr>
        <w:t>3.</w:t>
      </w:r>
      <w:r>
        <w:rPr>
          <w:rFonts w:ascii="宋体" w:hAnsi="宋体" w:cs="Arial" w:hint="eastAsia"/>
          <w:sz w:val="24"/>
        </w:rPr>
        <w:t>基金管理人投资银行存款或办理存款支取时，应提前书面通知基金托管人，以便基金托管人有足够的时间履行相应的业务操作程序。因发生逾期支取、提前支取或部分提前支取，基金托管人不承担相应利息损失及逾期支取手续费。</w:t>
      </w:r>
    </w:p>
    <w:p w14:paraId="2A08D833" w14:textId="77777777" w:rsidR="004E1659" w:rsidRDefault="00F42610">
      <w:pPr>
        <w:adjustRightInd w:val="0"/>
        <w:snapToGrid w:val="0"/>
        <w:spacing w:line="360" w:lineRule="auto"/>
        <w:ind w:firstLine="480"/>
        <w:rPr>
          <w:rFonts w:ascii="彩虹粗仿宋" w:eastAsia="彩虹粗仿宋" w:hAnsi="宋体" w:cs="Arial"/>
          <w:sz w:val="24"/>
        </w:rPr>
      </w:pPr>
      <w:r>
        <w:rPr>
          <w:rFonts w:ascii="宋体" w:hAnsi="宋体" w:cs="宋体" w:hint="eastAsia"/>
          <w:color w:val="000000"/>
          <w:kern w:val="0"/>
          <w:sz w:val="24"/>
        </w:rPr>
        <w:t>4.对于已移交基金托管人保管的存款开户证实书等实物凭证，基金托管人应确保安全保管；对未按约定将存款开户证实书等实物凭证移交基金托管人保管的，基金托管人应向基金管理人进行必要的催缴和风险提示；提示后仍不将相关实物凭证送达基金托管人保管的，出于托管履职和尽责，基金托管人可视情况采取必要的风险控制措施：（1）建立风险预警机制，对于实物凭证未送达集中度较高的</w:t>
      </w:r>
      <w:r>
        <w:rPr>
          <w:rFonts w:ascii="宋体" w:hAnsi="宋体" w:cs="宋体" w:hint="eastAsia"/>
          <w:color w:val="000000"/>
          <w:kern w:val="0"/>
          <w:sz w:val="24"/>
        </w:rPr>
        <w:lastRenderedPageBreak/>
        <w:t>存款银行，主动发函基金管理人尽量避免在此类银行进行存款投资；（2）在定期报告中，对未按约定送达基金托管人保管的实物凭证信息进行规定范围信息披露；（3）未送达实物凭证超过送单截止日后30个工作日，且累计超过3笔（含）以上的，部分或全部暂停配合基金管理人办理后续新增存款投资业务，直至实物凭证送达基金托管人保管后解除。实物凭证未送达但存款本息已安全划回托管资金账户的，以及因发生特殊情况由基金管理人提供相关书面说明并重新承诺送单截止时间的，可剔除不计。</w:t>
      </w:r>
    </w:p>
    <w:p w14:paraId="305AE5BC" w14:textId="77777777" w:rsidR="004E1659" w:rsidRDefault="004E1659">
      <w:pPr>
        <w:adjustRightInd w:val="0"/>
        <w:snapToGrid w:val="0"/>
        <w:spacing w:line="360" w:lineRule="auto"/>
        <w:ind w:firstLineChars="200" w:firstLine="480"/>
        <w:rPr>
          <w:rFonts w:ascii="宋体" w:hAnsi="宋体" w:cs="Arial"/>
          <w:sz w:val="24"/>
        </w:rPr>
      </w:pPr>
    </w:p>
    <w:p w14:paraId="2A2C2288" w14:textId="77777777" w:rsidR="004E1659" w:rsidRDefault="00F42610">
      <w:pPr>
        <w:pStyle w:val="2"/>
        <w:spacing w:line="360" w:lineRule="auto"/>
        <w:jc w:val="center"/>
        <w:rPr>
          <w:rFonts w:ascii="宋体" w:eastAsia="宋体" w:hAnsi="宋体"/>
          <w:sz w:val="30"/>
        </w:rPr>
      </w:pPr>
      <w:bookmarkStart w:id="95" w:name="_Toc516758902"/>
      <w:bookmarkStart w:id="96" w:name="_Hlk83905487"/>
      <w:r>
        <w:rPr>
          <w:rFonts w:ascii="宋体" w:eastAsia="宋体" w:hAnsi="宋体" w:hint="eastAsia"/>
          <w:sz w:val="30"/>
        </w:rPr>
        <w:t>八、基金资产净值计算和会计核算</w:t>
      </w:r>
      <w:bookmarkEnd w:id="95"/>
    </w:p>
    <w:p w14:paraId="7A358EF3" w14:textId="77777777" w:rsidR="004E1659" w:rsidRDefault="00F42610">
      <w:pPr>
        <w:spacing w:line="360" w:lineRule="auto"/>
        <w:ind w:firstLineChars="200" w:firstLine="480"/>
        <w:rPr>
          <w:rFonts w:ascii="宋体" w:hAnsi="宋体" w:cs="Arial"/>
          <w:sz w:val="24"/>
        </w:rPr>
      </w:pPr>
      <w:r>
        <w:rPr>
          <w:rFonts w:ascii="宋体" w:hAnsi="宋体" w:cs="Arial" w:hint="eastAsia"/>
          <w:sz w:val="24"/>
        </w:rPr>
        <w:t>（一）基金资产净值的计算、复核与完成的时间及程序</w:t>
      </w:r>
    </w:p>
    <w:p w14:paraId="73B9EE6B" w14:textId="3935103D"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1.</w:t>
      </w:r>
      <w:bookmarkStart w:id="97" w:name="_Hlk172127629"/>
      <w:r>
        <w:rPr>
          <w:rFonts w:ascii="宋体" w:hAnsi="宋体" w:cs="Arial" w:hint="eastAsia"/>
          <w:sz w:val="24"/>
        </w:rPr>
        <w:t>基金资产净值是指基金资产总值减去负债后的价值。</w:t>
      </w:r>
      <w:bookmarkStart w:id="98" w:name="_Hlk212194800"/>
      <w:r>
        <w:rPr>
          <w:rFonts w:ascii="宋体" w:hAnsi="宋体" w:cs="Arial" w:hint="eastAsia"/>
          <w:sz w:val="24"/>
        </w:rPr>
        <w:t>各类基金份额净值是按照每个估值日闭市后，各类基金份额的基金资产净值分别除以当日该类基金份额的余额数量计算，均精确到0.00</w:t>
      </w:r>
      <w:r>
        <w:rPr>
          <w:rFonts w:ascii="宋体" w:hAnsi="宋体" w:cs="Arial"/>
          <w:sz w:val="24"/>
        </w:rPr>
        <w:t>0</w:t>
      </w:r>
      <w:r>
        <w:rPr>
          <w:rFonts w:ascii="宋体" w:hAnsi="宋体" w:cs="Arial" w:hint="eastAsia"/>
          <w:sz w:val="24"/>
        </w:rPr>
        <w:t>1元，小数点后第五位四舍五入。基金管理人可以设立大额赎回情形下的净值精度应急调整机制。国家另有规定的，从其规定。</w:t>
      </w:r>
    </w:p>
    <w:p w14:paraId="3EFC7FAC" w14:textId="43BCD03F"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基金</w:t>
      </w:r>
      <w:r>
        <w:rPr>
          <w:rFonts w:ascii="宋体" w:hAnsi="宋体" w:cs="Arial"/>
          <w:sz w:val="24"/>
        </w:rPr>
        <w:t>管理人</w:t>
      </w:r>
      <w:r>
        <w:rPr>
          <w:rFonts w:ascii="宋体" w:hAnsi="宋体" w:cs="Arial" w:hint="eastAsia"/>
          <w:sz w:val="24"/>
        </w:rPr>
        <w:t>于每个估值日计算基金资产净值及各类基金份额净值，经基金托管人复核，并按规定公告。如遇特殊情况，</w:t>
      </w:r>
      <w:r>
        <w:rPr>
          <w:rFonts w:ascii="宋体" w:hAnsi="宋体" w:cs="Arial" w:hint="eastAsia"/>
          <w:bCs/>
          <w:sz w:val="24"/>
        </w:rPr>
        <w:t>经履行适当程序，</w:t>
      </w:r>
      <w:r>
        <w:rPr>
          <w:rFonts w:ascii="宋体" w:hAnsi="宋体" w:cs="Arial" w:hint="eastAsia"/>
          <w:sz w:val="24"/>
        </w:rPr>
        <w:t>可以适当延迟计算或公告。</w:t>
      </w:r>
    </w:p>
    <w:bookmarkEnd w:id="97"/>
    <w:p w14:paraId="77BACC9D" w14:textId="3D8DE3CB" w:rsidR="004E1659" w:rsidRDefault="00F42610">
      <w:pPr>
        <w:spacing w:line="360" w:lineRule="auto"/>
        <w:ind w:firstLineChars="200" w:firstLine="480"/>
        <w:rPr>
          <w:rFonts w:ascii="宋体" w:hAnsi="宋体" w:cs="Arial"/>
          <w:sz w:val="24"/>
        </w:rPr>
      </w:pPr>
      <w:r>
        <w:rPr>
          <w:rFonts w:ascii="宋体" w:hAnsi="宋体" w:cs="Arial" w:hint="eastAsia"/>
          <w:sz w:val="24"/>
        </w:rPr>
        <w:t>2.基金管理人应每个</w:t>
      </w:r>
      <w:r>
        <w:rPr>
          <w:rFonts w:ascii="宋体" w:hAnsi="宋体" w:cs="Arial"/>
          <w:sz w:val="24"/>
        </w:rPr>
        <w:t>估值</w:t>
      </w:r>
      <w:r>
        <w:rPr>
          <w:rFonts w:ascii="宋体" w:hAnsi="宋体" w:cs="Arial" w:hint="eastAsia"/>
          <w:sz w:val="24"/>
        </w:rPr>
        <w:t>日对基金资产估值。但基金管理人根据法律法规或《基金合同》的规定暂停估值时除外。基金管理人每个估值日对基金资产估值后，将各类基金份额净值结果发送基金托管人，经基金托管人复核无误后，由基金管理人按规定对外公布。</w:t>
      </w:r>
    </w:p>
    <w:p w14:paraId="544888C9" w14:textId="77777777" w:rsidR="004E1659" w:rsidRDefault="00F42610">
      <w:pPr>
        <w:spacing w:line="360" w:lineRule="auto"/>
        <w:ind w:firstLineChars="200" w:firstLine="480"/>
        <w:rPr>
          <w:rFonts w:ascii="宋体" w:hAnsi="宋体" w:cs="Arial"/>
          <w:sz w:val="24"/>
        </w:rPr>
      </w:pPr>
      <w:bookmarkStart w:id="99" w:name="_Hlk172127639"/>
      <w:bookmarkStart w:id="100" w:name="_Hlk83905631"/>
      <w:bookmarkEnd w:id="98"/>
      <w:r>
        <w:rPr>
          <w:rFonts w:ascii="宋体" w:hAnsi="宋体" w:cs="Arial" w:hint="eastAsia"/>
          <w:sz w:val="24"/>
        </w:rPr>
        <w:t>（二）基金资产估值方法和特殊情形的处理</w:t>
      </w:r>
    </w:p>
    <w:p w14:paraId="7DB47AA1" w14:textId="77777777" w:rsidR="004E1659" w:rsidRDefault="00F42610">
      <w:pPr>
        <w:spacing w:line="360" w:lineRule="auto"/>
        <w:ind w:firstLineChars="200" w:firstLine="480"/>
        <w:rPr>
          <w:rFonts w:ascii="宋体" w:hAnsi="宋体" w:cs="Arial"/>
          <w:sz w:val="24"/>
        </w:rPr>
      </w:pPr>
      <w:r>
        <w:rPr>
          <w:rFonts w:ascii="宋体" w:hAnsi="宋体" w:cs="Arial" w:hint="eastAsia"/>
          <w:sz w:val="24"/>
        </w:rPr>
        <w:t>1.估值对象</w:t>
      </w:r>
    </w:p>
    <w:p w14:paraId="0FD17D1C" w14:textId="77777777" w:rsidR="004E1659" w:rsidRDefault="00F42610">
      <w:pPr>
        <w:spacing w:line="360" w:lineRule="auto"/>
        <w:ind w:firstLineChars="200" w:firstLine="480"/>
        <w:rPr>
          <w:rFonts w:ascii="宋体" w:hAnsi="宋体" w:cs="Arial"/>
          <w:sz w:val="24"/>
        </w:rPr>
      </w:pPr>
      <w:r>
        <w:rPr>
          <w:rFonts w:ascii="宋体" w:hAnsi="宋体" w:hint="eastAsia"/>
          <w:bCs/>
          <w:sz w:val="24"/>
          <w:szCs w:val="24"/>
        </w:rPr>
        <w:t>基金所拥有的股票、股指期货合约、国债期货合约、股票期权合约、债券和银行存款本息、资产支持证券、应收款项、其它投资等资产及负债。</w:t>
      </w:r>
    </w:p>
    <w:p w14:paraId="72B95025" w14:textId="77777777" w:rsidR="004E1659" w:rsidRDefault="00F42610">
      <w:pPr>
        <w:spacing w:line="360" w:lineRule="auto"/>
        <w:ind w:firstLineChars="200" w:firstLine="480"/>
        <w:rPr>
          <w:rFonts w:ascii="宋体" w:hAnsi="宋体" w:cs="Arial"/>
          <w:sz w:val="24"/>
        </w:rPr>
      </w:pPr>
      <w:r>
        <w:rPr>
          <w:rFonts w:ascii="宋体" w:hAnsi="宋体" w:cs="Arial" w:hint="eastAsia"/>
          <w:sz w:val="24"/>
        </w:rPr>
        <w:t>2.估值方法</w:t>
      </w:r>
    </w:p>
    <w:p w14:paraId="4A448564" w14:textId="77777777" w:rsidR="004E1659" w:rsidRDefault="00F42610">
      <w:pPr>
        <w:adjustRightInd w:val="0"/>
        <w:snapToGrid w:val="0"/>
        <w:spacing w:line="360" w:lineRule="auto"/>
        <w:ind w:firstLine="480"/>
        <w:rPr>
          <w:rFonts w:ascii="宋体" w:hAnsi="宋体"/>
          <w:bCs/>
          <w:sz w:val="24"/>
          <w:szCs w:val="24"/>
        </w:rPr>
      </w:pPr>
      <w:r>
        <w:rPr>
          <w:rFonts w:ascii="宋体" w:hAnsi="宋体" w:hint="eastAsia"/>
          <w:bCs/>
          <w:sz w:val="24"/>
          <w:szCs w:val="24"/>
        </w:rPr>
        <w:t>（1）证券交易所上市的有价证券的估值</w:t>
      </w:r>
    </w:p>
    <w:p w14:paraId="41BE212C" w14:textId="77777777" w:rsidR="004E1659" w:rsidRDefault="00F42610">
      <w:pPr>
        <w:adjustRightInd w:val="0"/>
        <w:snapToGrid w:val="0"/>
        <w:spacing w:line="360" w:lineRule="auto"/>
        <w:ind w:firstLine="480"/>
        <w:rPr>
          <w:rFonts w:ascii="宋体" w:hAnsi="宋体"/>
          <w:bCs/>
          <w:sz w:val="24"/>
          <w:szCs w:val="24"/>
        </w:rPr>
      </w:pPr>
      <w:r>
        <w:rPr>
          <w:rFonts w:ascii="宋体" w:hAnsi="宋体" w:hint="eastAsia"/>
          <w:bCs/>
          <w:sz w:val="24"/>
          <w:szCs w:val="24"/>
        </w:rPr>
        <w:t>1）交易所上市的有价证券（包括股票等），以其估值日在证券交易所挂牌的</w:t>
      </w:r>
      <w:r>
        <w:rPr>
          <w:rFonts w:ascii="宋体" w:hAnsi="宋体" w:hint="eastAsia"/>
          <w:bCs/>
          <w:sz w:val="24"/>
          <w:szCs w:val="24"/>
        </w:rPr>
        <w:lastRenderedPageBreak/>
        <w:t>市价（收盘价）估值；估值日无市价，但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值；</w:t>
      </w:r>
    </w:p>
    <w:p w14:paraId="360B78A4" w14:textId="77777777" w:rsidR="004E1659" w:rsidRDefault="00F42610">
      <w:pPr>
        <w:adjustRightInd w:val="0"/>
        <w:snapToGrid w:val="0"/>
        <w:spacing w:line="360" w:lineRule="auto"/>
        <w:ind w:firstLine="480"/>
        <w:rPr>
          <w:rFonts w:ascii="宋体" w:hAnsi="宋体"/>
          <w:bCs/>
          <w:sz w:val="24"/>
          <w:szCs w:val="24"/>
        </w:rPr>
      </w:pPr>
      <w:r>
        <w:rPr>
          <w:rFonts w:ascii="宋体" w:hAnsi="宋体" w:hint="eastAsia"/>
          <w:bCs/>
          <w:sz w:val="24"/>
          <w:szCs w:val="24"/>
        </w:rPr>
        <w:t>2）对于已上市或已挂牌转让的不含权固定收益品种（法规另有规定的除外），选取第三方估值基准服务机构提供的相应品种当日的估值全价，基金管理人根据相关法律、法规的规定进行涉税处理（下同）。对于已上市或已挂牌转让的含权固定收益品种（法规另有规定的除外），选取第三方估值基准服务机构提供的相应品种当日的唯一估值全价或推荐估值全价。对于含投资者回售权的固定收益品种，行使回售权的，在回售登记日至实际收款日期间选取第三方估值基准服务机构提供的相应品种的唯一估值全价或推荐估值全价，同时充分考虑发行人的信用风险变化对公允价值的影响。回售登记期截止日（含当日）后未行使回售权的按照长待偿期所对应的价格进行估值。如最近交易日后经济环境发生了重大变化的，可参考类似投资品种的现行市价及重大变化因素，调整最近交易市价，确定公允价值；</w:t>
      </w:r>
    </w:p>
    <w:p w14:paraId="711FF561" w14:textId="77777777" w:rsidR="004E1659" w:rsidRDefault="00F42610">
      <w:pPr>
        <w:adjustRightInd w:val="0"/>
        <w:snapToGrid w:val="0"/>
        <w:spacing w:line="360" w:lineRule="auto"/>
        <w:ind w:firstLine="480"/>
        <w:rPr>
          <w:rFonts w:ascii="宋体" w:hAnsi="宋体"/>
          <w:bCs/>
          <w:sz w:val="24"/>
          <w:szCs w:val="24"/>
        </w:rPr>
      </w:pPr>
      <w:r>
        <w:rPr>
          <w:rFonts w:ascii="宋体" w:hAnsi="宋体" w:hint="eastAsia"/>
          <w:bCs/>
          <w:sz w:val="24"/>
          <w:szCs w:val="24"/>
        </w:rPr>
        <w:t>3）交易所上市交易的公开发行的可转换公司债券等有活跃市场的含转股权的债券，实行全价交易的债券选取估值日收盘价作为估值全价；实行净价交易的债券选取估值日收盘价并加计每百元税前应计利息作为估值全价。估值日没有交易的，且最近交易日后经济环境未发生重大变化，按最近交易日债券收盘价并加计每百元税前应计利息作为估值全价。如最近交易日后经济环境发生了重大变化的，可参考类似投资品种的现行市价及重大变化因素，调整最近交易市价，确定公允价值；</w:t>
      </w:r>
    </w:p>
    <w:p w14:paraId="72158737" w14:textId="77777777" w:rsidR="004E1659" w:rsidRDefault="00F42610">
      <w:pPr>
        <w:adjustRightInd w:val="0"/>
        <w:snapToGrid w:val="0"/>
        <w:spacing w:line="360" w:lineRule="auto"/>
        <w:ind w:firstLine="480"/>
        <w:rPr>
          <w:rFonts w:ascii="宋体" w:hAnsi="宋体"/>
          <w:bCs/>
          <w:sz w:val="24"/>
          <w:szCs w:val="24"/>
        </w:rPr>
      </w:pPr>
      <w:r>
        <w:rPr>
          <w:rFonts w:ascii="宋体" w:hAnsi="宋体" w:hint="eastAsia"/>
          <w:bCs/>
          <w:sz w:val="24"/>
          <w:szCs w:val="24"/>
        </w:rPr>
        <w:t>4）本基金投资存托凭证的估值核算，依照境内上市交易的股票执行。</w:t>
      </w:r>
    </w:p>
    <w:p w14:paraId="3EF14849" w14:textId="77777777" w:rsidR="004E1659" w:rsidRDefault="00F42610">
      <w:pPr>
        <w:adjustRightInd w:val="0"/>
        <w:snapToGrid w:val="0"/>
        <w:spacing w:line="360" w:lineRule="auto"/>
        <w:ind w:firstLine="480"/>
        <w:rPr>
          <w:rFonts w:ascii="宋体" w:hAnsi="宋体"/>
          <w:bCs/>
          <w:sz w:val="24"/>
          <w:szCs w:val="24"/>
        </w:rPr>
      </w:pPr>
      <w:r>
        <w:rPr>
          <w:rFonts w:ascii="宋体" w:hAnsi="宋体" w:hint="eastAsia"/>
          <w:bCs/>
          <w:sz w:val="24"/>
          <w:szCs w:val="24"/>
        </w:rPr>
        <w:t>（2）处于未上市期间的有价证券应区分如下情况处理：</w:t>
      </w:r>
    </w:p>
    <w:p w14:paraId="496EE35F" w14:textId="77777777" w:rsidR="004E1659" w:rsidRDefault="00F42610">
      <w:pPr>
        <w:adjustRightInd w:val="0"/>
        <w:snapToGrid w:val="0"/>
        <w:spacing w:line="360" w:lineRule="auto"/>
        <w:ind w:firstLine="480"/>
        <w:rPr>
          <w:rFonts w:ascii="宋体" w:hAnsi="宋体"/>
          <w:bCs/>
          <w:sz w:val="24"/>
          <w:szCs w:val="24"/>
        </w:rPr>
      </w:pPr>
      <w:r>
        <w:rPr>
          <w:rFonts w:ascii="宋体" w:hAnsi="宋体" w:hint="eastAsia"/>
          <w:bCs/>
          <w:sz w:val="24"/>
          <w:szCs w:val="24"/>
        </w:rPr>
        <w:t>1）送股、转增股、配股和公开增发的股票，按估值日在证券交易所挂牌的同一股票的估值方法估值；该日无交易的，以最近一日的市价（收盘价）估值；</w:t>
      </w:r>
    </w:p>
    <w:p w14:paraId="3E159EF6" w14:textId="77777777" w:rsidR="004E1659" w:rsidRDefault="00F42610">
      <w:pPr>
        <w:adjustRightInd w:val="0"/>
        <w:snapToGrid w:val="0"/>
        <w:spacing w:line="360" w:lineRule="auto"/>
        <w:ind w:firstLine="480"/>
        <w:rPr>
          <w:rFonts w:ascii="宋体" w:hAnsi="宋体"/>
          <w:bCs/>
          <w:sz w:val="24"/>
          <w:szCs w:val="24"/>
        </w:rPr>
      </w:pPr>
      <w:r>
        <w:rPr>
          <w:rFonts w:ascii="宋体" w:hAnsi="宋体" w:hint="eastAsia"/>
          <w:bCs/>
          <w:sz w:val="24"/>
          <w:szCs w:val="24"/>
        </w:rPr>
        <w:t>2）首次公开发行未上市的股票，采用估值技术确定公允价值；</w:t>
      </w:r>
    </w:p>
    <w:p w14:paraId="5E8008F9" w14:textId="77777777" w:rsidR="004E1659" w:rsidRDefault="00F42610">
      <w:pPr>
        <w:adjustRightInd w:val="0"/>
        <w:snapToGrid w:val="0"/>
        <w:spacing w:line="360" w:lineRule="auto"/>
        <w:ind w:firstLine="480"/>
        <w:rPr>
          <w:rFonts w:ascii="宋体" w:hAnsi="宋体"/>
          <w:bCs/>
          <w:sz w:val="24"/>
          <w:szCs w:val="24"/>
        </w:rPr>
      </w:pPr>
      <w:r>
        <w:rPr>
          <w:rFonts w:ascii="宋体" w:hAnsi="宋体" w:hint="eastAsia"/>
          <w:bCs/>
          <w:sz w:val="24"/>
          <w:szCs w:val="24"/>
        </w:rPr>
        <w:t>3）流通受限的股票，包括非公开发行股票、首次公开发行股票时公司股东公开发售股份、通过大宗交易取得的带限售期的股票等（不包括停牌、新发行未上</w:t>
      </w:r>
      <w:r>
        <w:rPr>
          <w:rFonts w:ascii="宋体" w:hAnsi="宋体" w:hint="eastAsia"/>
          <w:bCs/>
          <w:sz w:val="24"/>
          <w:szCs w:val="24"/>
        </w:rPr>
        <w:lastRenderedPageBreak/>
        <w:t>市、回购交易中的质押券等流通受限股票），按监管机构或行业协会有关规定确定公允价值；</w:t>
      </w:r>
    </w:p>
    <w:p w14:paraId="70E52ED7" w14:textId="77777777" w:rsidR="004E1659" w:rsidRDefault="00F42610">
      <w:pPr>
        <w:adjustRightInd w:val="0"/>
        <w:snapToGrid w:val="0"/>
        <w:spacing w:line="360" w:lineRule="auto"/>
        <w:ind w:firstLine="480"/>
        <w:rPr>
          <w:rFonts w:ascii="宋体" w:hAnsi="宋体"/>
          <w:bCs/>
          <w:sz w:val="24"/>
          <w:szCs w:val="24"/>
        </w:rPr>
      </w:pPr>
      <w:r>
        <w:rPr>
          <w:rFonts w:ascii="宋体" w:hAnsi="宋体" w:hint="eastAsia"/>
          <w:bCs/>
          <w:sz w:val="24"/>
          <w:szCs w:val="24"/>
        </w:rPr>
        <w:t>4）对于未上市或未挂牌转让且不存在活跃市场的固定收益品种，采用在当前情况下适用并且有足够可利用数据和其他信息支持的估值技术确定其公允价值。</w:t>
      </w:r>
    </w:p>
    <w:p w14:paraId="2342EE03" w14:textId="77777777" w:rsidR="004E1659" w:rsidRDefault="00F42610">
      <w:pPr>
        <w:adjustRightInd w:val="0"/>
        <w:snapToGrid w:val="0"/>
        <w:spacing w:line="360" w:lineRule="auto"/>
        <w:ind w:firstLine="480"/>
        <w:rPr>
          <w:rFonts w:ascii="宋体" w:hAnsi="宋体"/>
          <w:bCs/>
          <w:sz w:val="24"/>
          <w:szCs w:val="24"/>
        </w:rPr>
      </w:pPr>
      <w:r>
        <w:rPr>
          <w:rFonts w:ascii="宋体" w:hAnsi="宋体" w:hint="eastAsia"/>
          <w:bCs/>
          <w:sz w:val="24"/>
          <w:szCs w:val="24"/>
        </w:rPr>
        <w:t>（3）对全国银行间市场已上市或已挂牌转让的不含权固定收益品种（法规另有规定的除外），选取第三方估值基准服务机构提供的相应品种当日的估值全价，基金管理人根据相关法律、法规的规定进行涉税处理（下同）。对于已上市或已挂牌转让的含权固定收益品种（法规另有规定的除外），选取第三方估值基准服务机构提供的相应品种当日的唯一估值全价或推荐估值全价。对于含投资者回售权的固定收益品种，行使回售权的，在回售登记日至实际收款日期间选取第三方估值基准服务机构提供的相应品种的唯一估值全价或推荐估值全价，同时充分考虑发行人的信用风险变化对公允价值的影响。回售登记期截止日（含当日）后未行使回售权的按照长待偿期所对应的价格进行估值。如最近交易日后经济环境发生了重大变化的，可参考类似投资品种的现行市价及重大变化因素，调整最近交易市价，确定公允价值。</w:t>
      </w:r>
    </w:p>
    <w:p w14:paraId="59B19EF6" w14:textId="77777777" w:rsidR="004E1659" w:rsidRDefault="00F42610">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（4）同一证券同时在两个或两个以上市场交易的，按其所处的市场分别估值。</w:t>
      </w:r>
    </w:p>
    <w:p w14:paraId="1A0398EC" w14:textId="77D55719" w:rsidR="004E1659" w:rsidRDefault="00F42610">
      <w:pPr>
        <w:adjustRightInd w:val="0"/>
        <w:snapToGrid w:val="0"/>
        <w:spacing w:line="360" w:lineRule="auto"/>
        <w:ind w:firstLine="480"/>
        <w:rPr>
          <w:rFonts w:ascii="宋体" w:hAnsi="宋体"/>
          <w:bCs/>
          <w:sz w:val="24"/>
          <w:szCs w:val="24"/>
        </w:rPr>
      </w:pPr>
      <w:r>
        <w:rPr>
          <w:rFonts w:ascii="宋体" w:hAnsi="宋体" w:hint="eastAsia"/>
          <w:bCs/>
          <w:sz w:val="24"/>
          <w:szCs w:val="24"/>
        </w:rPr>
        <w:t>（</w:t>
      </w:r>
      <w:r>
        <w:rPr>
          <w:rFonts w:ascii="宋体" w:hAnsi="宋体"/>
          <w:bCs/>
          <w:sz w:val="24"/>
          <w:szCs w:val="24"/>
        </w:rPr>
        <w:t>5</w:t>
      </w:r>
      <w:r>
        <w:rPr>
          <w:rFonts w:ascii="宋体" w:hAnsi="宋体" w:hint="eastAsia"/>
          <w:bCs/>
          <w:sz w:val="24"/>
          <w:szCs w:val="24"/>
        </w:rPr>
        <w:t>）本基金持有的回购以摊余成本列示，按合同利率在回购期间内逐日计提应收或应付利息。</w:t>
      </w:r>
    </w:p>
    <w:p w14:paraId="170E63E3" w14:textId="77777777" w:rsidR="004E1659" w:rsidRDefault="00F42610">
      <w:pPr>
        <w:adjustRightInd w:val="0"/>
        <w:snapToGrid w:val="0"/>
        <w:spacing w:line="360" w:lineRule="auto"/>
        <w:ind w:firstLine="480"/>
        <w:rPr>
          <w:rFonts w:ascii="宋体" w:hAnsi="宋体"/>
          <w:bCs/>
          <w:sz w:val="24"/>
          <w:szCs w:val="24"/>
        </w:rPr>
      </w:pPr>
      <w:r>
        <w:rPr>
          <w:rFonts w:ascii="宋体" w:hAnsi="宋体" w:hint="eastAsia"/>
          <w:bCs/>
          <w:sz w:val="24"/>
          <w:szCs w:val="24"/>
        </w:rPr>
        <w:t>（</w:t>
      </w:r>
      <w:r>
        <w:rPr>
          <w:rFonts w:ascii="宋体" w:hAnsi="宋体"/>
          <w:bCs/>
          <w:sz w:val="24"/>
          <w:szCs w:val="24"/>
        </w:rPr>
        <w:t>6</w:t>
      </w:r>
      <w:r>
        <w:rPr>
          <w:rFonts w:ascii="宋体" w:hAnsi="宋体" w:hint="eastAsia"/>
          <w:bCs/>
          <w:sz w:val="24"/>
          <w:szCs w:val="24"/>
        </w:rPr>
        <w:t>）本基金持有的银行存款和备付金余额以摊余成本列示，按相应利率逐日计提利息。</w:t>
      </w:r>
    </w:p>
    <w:p w14:paraId="1E1AC040" w14:textId="77777777" w:rsidR="004E1659" w:rsidRDefault="00F42610">
      <w:pPr>
        <w:adjustRightInd w:val="0"/>
        <w:snapToGrid w:val="0"/>
        <w:spacing w:line="360" w:lineRule="auto"/>
        <w:ind w:firstLine="480"/>
        <w:rPr>
          <w:rFonts w:ascii="宋体" w:hAnsi="宋体"/>
          <w:bCs/>
          <w:sz w:val="24"/>
          <w:szCs w:val="24"/>
        </w:rPr>
      </w:pPr>
      <w:r>
        <w:rPr>
          <w:rFonts w:ascii="宋体" w:hAnsi="宋体" w:hint="eastAsia"/>
          <w:bCs/>
          <w:sz w:val="24"/>
          <w:szCs w:val="24"/>
        </w:rPr>
        <w:t>（</w:t>
      </w:r>
      <w:r>
        <w:rPr>
          <w:rFonts w:ascii="宋体" w:hAnsi="宋体"/>
          <w:bCs/>
          <w:sz w:val="24"/>
          <w:szCs w:val="24"/>
        </w:rPr>
        <w:t>7</w:t>
      </w:r>
      <w:r>
        <w:rPr>
          <w:rFonts w:ascii="宋体" w:hAnsi="宋体" w:hint="eastAsia"/>
          <w:bCs/>
          <w:sz w:val="24"/>
          <w:szCs w:val="24"/>
        </w:rPr>
        <w:t>）本基金投资股指期货合约、国债期货合约，一般以估值当日结算价进行估值，估值当日无结算价，且最近交易日后经济环境未发生重大变化的，采用最近交易日结算价估值。</w:t>
      </w:r>
    </w:p>
    <w:p w14:paraId="034E275A" w14:textId="77777777" w:rsidR="004E1659" w:rsidRDefault="00F42610">
      <w:pPr>
        <w:adjustRightInd w:val="0"/>
        <w:snapToGrid w:val="0"/>
        <w:spacing w:line="360" w:lineRule="auto"/>
        <w:ind w:firstLine="480"/>
        <w:rPr>
          <w:rFonts w:ascii="宋体" w:hAnsi="宋体"/>
          <w:bCs/>
          <w:sz w:val="24"/>
          <w:szCs w:val="24"/>
        </w:rPr>
      </w:pPr>
      <w:r>
        <w:rPr>
          <w:rFonts w:ascii="宋体" w:hAnsi="宋体" w:hint="eastAsia"/>
          <w:bCs/>
          <w:sz w:val="24"/>
          <w:szCs w:val="24"/>
        </w:rPr>
        <w:t>（</w:t>
      </w:r>
      <w:r>
        <w:rPr>
          <w:rFonts w:ascii="宋体" w:hAnsi="宋体"/>
          <w:bCs/>
          <w:sz w:val="24"/>
          <w:szCs w:val="24"/>
        </w:rPr>
        <w:t>8</w:t>
      </w:r>
      <w:r>
        <w:rPr>
          <w:rFonts w:ascii="宋体" w:hAnsi="宋体" w:hint="eastAsia"/>
          <w:bCs/>
          <w:sz w:val="24"/>
          <w:szCs w:val="24"/>
        </w:rPr>
        <w:t>）本基金投资股票期权合约，根据相关法律法规以及监管部门的规定估值。</w:t>
      </w:r>
    </w:p>
    <w:p w14:paraId="684861D6" w14:textId="77777777" w:rsidR="004E1659" w:rsidRDefault="00F42610">
      <w:pPr>
        <w:adjustRightInd w:val="0"/>
        <w:snapToGrid w:val="0"/>
        <w:spacing w:line="360" w:lineRule="auto"/>
        <w:ind w:firstLine="480"/>
        <w:rPr>
          <w:rFonts w:ascii="宋体" w:hAnsi="宋体"/>
          <w:bCs/>
          <w:sz w:val="24"/>
          <w:szCs w:val="24"/>
        </w:rPr>
      </w:pPr>
      <w:r>
        <w:rPr>
          <w:rFonts w:ascii="宋体" w:hAnsi="宋体" w:hint="eastAsia"/>
          <w:bCs/>
          <w:sz w:val="24"/>
          <w:szCs w:val="24"/>
        </w:rPr>
        <w:t>（</w:t>
      </w:r>
      <w:r>
        <w:rPr>
          <w:rFonts w:ascii="宋体" w:hAnsi="宋体"/>
          <w:bCs/>
          <w:sz w:val="24"/>
          <w:szCs w:val="24"/>
        </w:rPr>
        <w:t>9</w:t>
      </w:r>
      <w:r>
        <w:rPr>
          <w:rFonts w:ascii="宋体" w:hAnsi="宋体" w:hint="eastAsia"/>
          <w:bCs/>
          <w:sz w:val="24"/>
          <w:szCs w:val="24"/>
        </w:rPr>
        <w:t>）估值计算中涉及港元对人民币汇率的，将依据当日中国人民银行或其授权机构公布的港元对人民币的中间价为准。</w:t>
      </w:r>
    </w:p>
    <w:p w14:paraId="3BDE4D26" w14:textId="77777777" w:rsidR="004E1659" w:rsidRDefault="00F42610">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w:t>
      </w:r>
      <w:r>
        <w:rPr>
          <w:rFonts w:ascii="宋体" w:hAnsi="宋体" w:hint="eastAsia"/>
          <w:bCs/>
          <w:sz w:val="24"/>
          <w:szCs w:val="24"/>
        </w:rPr>
        <w:lastRenderedPageBreak/>
        <w:t>值调整。</w:t>
      </w:r>
    </w:p>
    <w:p w14:paraId="5A4285B1" w14:textId="77777777" w:rsidR="004E1659" w:rsidRDefault="00F42610">
      <w:pPr>
        <w:adjustRightInd w:val="0"/>
        <w:snapToGrid w:val="0"/>
        <w:spacing w:line="360" w:lineRule="auto"/>
        <w:ind w:firstLine="480"/>
        <w:rPr>
          <w:rFonts w:ascii="宋体" w:hAnsi="宋体"/>
          <w:bCs/>
          <w:sz w:val="24"/>
          <w:szCs w:val="24"/>
        </w:rPr>
      </w:pPr>
      <w:r>
        <w:rPr>
          <w:rFonts w:ascii="宋体" w:hAnsi="宋体" w:hint="eastAsia"/>
          <w:bCs/>
          <w:sz w:val="24"/>
          <w:szCs w:val="24"/>
        </w:rPr>
        <w:t>（</w:t>
      </w:r>
      <w:r>
        <w:rPr>
          <w:rFonts w:ascii="宋体" w:hAnsi="宋体"/>
          <w:bCs/>
          <w:sz w:val="24"/>
          <w:szCs w:val="24"/>
        </w:rPr>
        <w:t>10</w:t>
      </w:r>
      <w:r>
        <w:rPr>
          <w:rFonts w:ascii="宋体" w:hAnsi="宋体" w:hint="eastAsia"/>
          <w:bCs/>
          <w:sz w:val="24"/>
          <w:szCs w:val="24"/>
        </w:rPr>
        <w:t>）本基金参与融资业务的，按照相关法律法规和行业协会的相关规定进行估值。</w:t>
      </w:r>
    </w:p>
    <w:p w14:paraId="450FBDCD" w14:textId="77777777" w:rsidR="004E1659" w:rsidRDefault="00F42610">
      <w:pPr>
        <w:adjustRightInd w:val="0"/>
        <w:snapToGrid w:val="0"/>
        <w:spacing w:line="360" w:lineRule="auto"/>
        <w:ind w:firstLine="480"/>
        <w:rPr>
          <w:rFonts w:ascii="宋体" w:hAnsi="宋体"/>
          <w:bCs/>
          <w:sz w:val="24"/>
          <w:szCs w:val="24"/>
        </w:rPr>
      </w:pPr>
      <w:r>
        <w:rPr>
          <w:rFonts w:ascii="宋体" w:hAnsi="宋体" w:hint="eastAsia"/>
          <w:bCs/>
          <w:sz w:val="24"/>
          <w:szCs w:val="24"/>
        </w:rPr>
        <w:t>（</w:t>
      </w:r>
      <w:r>
        <w:rPr>
          <w:rFonts w:ascii="宋体" w:hAnsi="宋体"/>
          <w:bCs/>
          <w:sz w:val="24"/>
          <w:szCs w:val="24"/>
        </w:rPr>
        <w:t>11</w:t>
      </w:r>
      <w:r>
        <w:rPr>
          <w:rFonts w:ascii="宋体" w:hAnsi="宋体" w:hint="eastAsia"/>
          <w:bCs/>
          <w:sz w:val="24"/>
          <w:szCs w:val="24"/>
        </w:rPr>
        <w:t>）如有确凿证据表明按上述方法进行估值不能客观反映其公允价值的，基金管理人可根据具体情况与基金托管人商定后，按最能反映公允价值的价格估值。</w:t>
      </w:r>
    </w:p>
    <w:p w14:paraId="07F14DE6" w14:textId="77777777" w:rsidR="004E1659" w:rsidRDefault="00F42610">
      <w:pPr>
        <w:adjustRightInd w:val="0"/>
        <w:snapToGrid w:val="0"/>
        <w:spacing w:line="360" w:lineRule="auto"/>
        <w:ind w:firstLine="480"/>
        <w:rPr>
          <w:rFonts w:ascii="宋体" w:hAnsi="宋体"/>
          <w:bCs/>
          <w:sz w:val="24"/>
          <w:szCs w:val="24"/>
        </w:rPr>
      </w:pPr>
      <w:r>
        <w:rPr>
          <w:rFonts w:ascii="宋体" w:hAnsi="宋体" w:hint="eastAsia"/>
          <w:bCs/>
          <w:sz w:val="24"/>
          <w:szCs w:val="24"/>
        </w:rPr>
        <w:t>（</w:t>
      </w:r>
      <w:r>
        <w:rPr>
          <w:rFonts w:ascii="宋体" w:hAnsi="宋体"/>
          <w:bCs/>
          <w:sz w:val="24"/>
          <w:szCs w:val="24"/>
        </w:rPr>
        <w:t>12</w:t>
      </w:r>
      <w:r>
        <w:rPr>
          <w:rFonts w:ascii="宋体" w:hAnsi="宋体" w:hint="eastAsia"/>
          <w:bCs/>
          <w:sz w:val="24"/>
          <w:szCs w:val="24"/>
        </w:rPr>
        <w:t>）当本基金发生大额申购或赎回情形时，基金管理人可以采用摆动定价机制，以确保基金估值的公平性。</w:t>
      </w:r>
    </w:p>
    <w:p w14:paraId="4F461DA9" w14:textId="77777777" w:rsidR="004E1659" w:rsidRDefault="00F42610">
      <w:pPr>
        <w:adjustRightInd w:val="0"/>
        <w:snapToGrid w:val="0"/>
        <w:spacing w:line="360" w:lineRule="auto"/>
        <w:ind w:firstLine="480"/>
        <w:rPr>
          <w:rFonts w:ascii="宋体" w:hAnsi="宋体"/>
          <w:bCs/>
          <w:sz w:val="24"/>
          <w:szCs w:val="24"/>
        </w:rPr>
      </w:pPr>
      <w:r>
        <w:rPr>
          <w:rFonts w:ascii="宋体" w:hAnsi="宋体" w:hint="eastAsia"/>
          <w:bCs/>
          <w:sz w:val="24"/>
          <w:szCs w:val="24"/>
        </w:rPr>
        <w:t>（</w:t>
      </w:r>
      <w:r>
        <w:rPr>
          <w:rFonts w:ascii="宋体" w:hAnsi="宋体"/>
          <w:bCs/>
          <w:sz w:val="24"/>
          <w:szCs w:val="24"/>
        </w:rPr>
        <w:t>13</w:t>
      </w:r>
      <w:r>
        <w:rPr>
          <w:rFonts w:ascii="宋体" w:hAnsi="宋体" w:hint="eastAsia"/>
          <w:bCs/>
          <w:sz w:val="24"/>
          <w:szCs w:val="24"/>
        </w:rPr>
        <w:t>）相关法律法规以及监管部门有强制规定的，从其规定。如有新增事项，按国家最新规定估值。</w:t>
      </w:r>
    </w:p>
    <w:p w14:paraId="4FECC392" w14:textId="77777777" w:rsidR="004E1659" w:rsidRDefault="00F42610">
      <w:pPr>
        <w:adjustRightInd w:val="0"/>
        <w:snapToGrid w:val="0"/>
        <w:spacing w:line="360" w:lineRule="auto"/>
        <w:ind w:firstLine="480"/>
        <w:rPr>
          <w:rFonts w:ascii="宋体" w:hAnsi="宋体"/>
          <w:bCs/>
          <w:sz w:val="24"/>
          <w:szCs w:val="24"/>
        </w:rPr>
      </w:pPr>
      <w:r>
        <w:rPr>
          <w:rFonts w:ascii="宋体" w:hAnsi="宋体" w:hint="eastAsia"/>
          <w:bCs/>
          <w:sz w:val="24"/>
          <w:szCs w:val="24"/>
        </w:rPr>
        <w:t>如基金管理人或基金托管人发现基金估值违反基金合同订明的估值方法、程序及相关法律法规的规定或者未能充分维护基金份额持有人利益时，应立即通知对方，共同查明原因，双方协商解决，以约定的方法、程序和相关法律法规的规定进行估值，以维护基金份额持有人的利益。</w:t>
      </w:r>
    </w:p>
    <w:p w14:paraId="49179673" w14:textId="77777777" w:rsidR="004E1659" w:rsidRDefault="00F42610">
      <w:pPr>
        <w:adjustRightInd w:val="0"/>
        <w:snapToGrid w:val="0"/>
        <w:spacing w:line="360" w:lineRule="auto"/>
        <w:ind w:firstLine="480"/>
        <w:rPr>
          <w:rFonts w:ascii="宋体" w:hAnsi="宋体"/>
          <w:bCs/>
          <w:sz w:val="24"/>
          <w:szCs w:val="24"/>
        </w:rPr>
      </w:pPr>
      <w:r>
        <w:rPr>
          <w:rFonts w:ascii="宋体" w:hAnsi="宋体" w:hint="eastAsia"/>
          <w:bCs/>
          <w:sz w:val="24"/>
          <w:szCs w:val="24"/>
        </w:rPr>
        <w:t>根据有关法律法规，基金资产净值计算、各类基金份额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盖章的书面说明后，按照基金管理人对基金净值信息的计算结果按规定对外予以公布</w:t>
      </w:r>
    </w:p>
    <w:p w14:paraId="22AF6EDE" w14:textId="77777777" w:rsidR="004E1659" w:rsidRDefault="00F42610">
      <w:pPr>
        <w:adjustRightInd w:val="0"/>
        <w:snapToGrid w:val="0"/>
        <w:spacing w:line="360" w:lineRule="auto"/>
        <w:ind w:firstLine="480"/>
        <w:rPr>
          <w:rStyle w:val="read"/>
          <w:rFonts w:ascii="宋体" w:hAnsi="宋体" w:cs="Arial"/>
          <w:sz w:val="24"/>
        </w:rPr>
      </w:pPr>
      <w:r>
        <w:rPr>
          <w:rStyle w:val="read"/>
          <w:rFonts w:ascii="宋体" w:hAnsi="宋体" w:cs="Arial" w:hint="eastAsia"/>
          <w:sz w:val="24"/>
        </w:rPr>
        <w:t>3.特殊情形的处理</w:t>
      </w:r>
    </w:p>
    <w:p w14:paraId="3F3CF95D" w14:textId="77777777" w:rsidR="004E1659" w:rsidRDefault="00F42610">
      <w:pPr>
        <w:adjustRightInd w:val="0"/>
        <w:snapToGrid w:val="0"/>
        <w:spacing w:line="360" w:lineRule="auto"/>
        <w:ind w:firstLineChars="200" w:firstLine="480"/>
        <w:rPr>
          <w:rStyle w:val="read"/>
          <w:rFonts w:ascii="宋体" w:hAnsi="宋体"/>
          <w:sz w:val="24"/>
        </w:rPr>
      </w:pPr>
      <w:r>
        <w:rPr>
          <w:rStyle w:val="read"/>
          <w:rFonts w:ascii="宋体" w:hAnsi="宋体" w:cs="Arial" w:hint="eastAsia"/>
          <w:sz w:val="24"/>
        </w:rPr>
        <w:t>（1）基金管理人、基金托管人按估值方法的第（</w:t>
      </w:r>
      <w:r>
        <w:rPr>
          <w:rStyle w:val="read"/>
          <w:rFonts w:ascii="宋体" w:hAnsi="宋体" w:cs="Arial"/>
          <w:sz w:val="24"/>
        </w:rPr>
        <w:t>11</w:t>
      </w:r>
      <w:r>
        <w:rPr>
          <w:rStyle w:val="read"/>
          <w:rFonts w:ascii="宋体" w:hAnsi="宋体" w:cs="Arial" w:hint="eastAsia"/>
          <w:sz w:val="24"/>
        </w:rPr>
        <w:t>）项进行估值时，所造成的误差不作为基金</w:t>
      </w:r>
      <w:r>
        <w:rPr>
          <w:rFonts w:ascii="宋体" w:hAnsi="宋体" w:hint="eastAsia"/>
          <w:bCs/>
          <w:sz w:val="24"/>
          <w:szCs w:val="24"/>
        </w:rPr>
        <w:t>资产估值</w:t>
      </w:r>
      <w:r>
        <w:rPr>
          <w:rStyle w:val="read"/>
          <w:rFonts w:ascii="宋体" w:hAnsi="宋体" w:hint="eastAsia"/>
          <w:sz w:val="24"/>
        </w:rPr>
        <w:t>错误处理。</w:t>
      </w:r>
    </w:p>
    <w:p w14:paraId="5F9B2F99" w14:textId="77777777" w:rsidR="004E1659" w:rsidRDefault="00F42610">
      <w:pPr>
        <w:adjustRightInd w:val="0"/>
        <w:snapToGrid w:val="0"/>
        <w:spacing w:line="360" w:lineRule="auto"/>
        <w:ind w:firstLineChars="200" w:firstLine="480"/>
        <w:rPr>
          <w:rStyle w:val="read"/>
          <w:rFonts w:ascii="宋体" w:hAnsi="宋体"/>
          <w:sz w:val="24"/>
        </w:rPr>
      </w:pPr>
      <w:r>
        <w:rPr>
          <w:rStyle w:val="read"/>
          <w:rFonts w:ascii="宋体" w:hAnsi="宋体" w:hint="eastAsia"/>
          <w:sz w:val="24"/>
        </w:rPr>
        <w:t>（2）由于不可抗力原因，或由于证券/期货交易所、登记结算公司、证券/期货经纪机构、存款银行、第三方估值基准服务机构等第三方机构发送的数据错误、遗漏，或有关会计制度变化等非基金管理人与基金托管人原因，基金管理人和基金托管人虽然已经采取必要、适当、合理的措施进行检查，但未能发现该错误、遗漏的，由此造成的基金资产估值错误，基金管理人和基金托管人免除赔偿责任。但基金管理人、基金托管人应当积极采取必要的措施消除或减轻由此造成的影响。</w:t>
      </w:r>
    </w:p>
    <w:p w14:paraId="5F7DE0A3" w14:textId="77777777" w:rsidR="004E1659" w:rsidRDefault="00F42610">
      <w:pPr>
        <w:adjustRightInd w:val="0"/>
        <w:snapToGrid w:val="0"/>
        <w:spacing w:line="360" w:lineRule="auto"/>
        <w:ind w:firstLineChars="200" w:firstLine="480"/>
        <w:rPr>
          <w:rStyle w:val="read"/>
          <w:rFonts w:ascii="宋体" w:hAnsi="宋体"/>
          <w:sz w:val="24"/>
        </w:rPr>
      </w:pPr>
      <w:bookmarkStart w:id="101" w:name="_Hlk172127657"/>
      <w:bookmarkEnd w:id="99"/>
      <w:r>
        <w:rPr>
          <w:rStyle w:val="read"/>
          <w:rFonts w:ascii="宋体" w:hAnsi="宋体" w:hint="eastAsia"/>
          <w:sz w:val="24"/>
        </w:rPr>
        <w:t>（三）基金份额净值错误的处理方式</w:t>
      </w:r>
    </w:p>
    <w:p w14:paraId="7B1FC82B" w14:textId="77777777" w:rsidR="004E1659" w:rsidRDefault="00F42610">
      <w:pPr>
        <w:adjustRightInd w:val="0"/>
        <w:snapToGrid w:val="0"/>
        <w:spacing w:line="360" w:lineRule="auto"/>
        <w:ind w:firstLineChars="200" w:firstLine="480"/>
        <w:rPr>
          <w:rStyle w:val="read"/>
          <w:rFonts w:ascii="宋体" w:hAnsi="宋体"/>
          <w:sz w:val="24"/>
        </w:rPr>
      </w:pPr>
      <w:r>
        <w:rPr>
          <w:rStyle w:val="read"/>
          <w:rFonts w:ascii="宋体" w:hAnsi="宋体" w:hint="eastAsia"/>
          <w:sz w:val="24"/>
        </w:rPr>
        <w:t>1.当</w:t>
      </w:r>
      <w:r>
        <w:rPr>
          <w:rFonts w:ascii="黑体" w:hAnsi="黑体" w:hint="eastAsia"/>
          <w:bCs/>
          <w:sz w:val="24"/>
          <w:szCs w:val="24"/>
        </w:rPr>
        <w:t>任一类</w:t>
      </w:r>
      <w:r>
        <w:rPr>
          <w:rStyle w:val="read"/>
          <w:rFonts w:ascii="宋体" w:hAnsi="宋体" w:hint="eastAsia"/>
          <w:sz w:val="24"/>
        </w:rPr>
        <w:t>基金份额净值小数点后</w:t>
      </w:r>
      <w:r>
        <w:rPr>
          <w:rStyle w:val="read"/>
          <w:rFonts w:ascii="宋体" w:hAnsi="宋体"/>
          <w:sz w:val="24"/>
        </w:rPr>
        <w:t>4</w:t>
      </w:r>
      <w:r>
        <w:rPr>
          <w:rStyle w:val="read"/>
          <w:rFonts w:ascii="宋体" w:hAnsi="宋体" w:hint="eastAsia"/>
          <w:sz w:val="24"/>
        </w:rPr>
        <w:t>位以内（含第</w:t>
      </w:r>
      <w:r>
        <w:rPr>
          <w:rStyle w:val="read"/>
          <w:rFonts w:ascii="宋体" w:hAnsi="宋体"/>
          <w:sz w:val="24"/>
        </w:rPr>
        <w:t>4</w:t>
      </w:r>
      <w:r>
        <w:rPr>
          <w:rStyle w:val="read"/>
          <w:rFonts w:ascii="宋体" w:hAnsi="宋体" w:hint="eastAsia"/>
          <w:sz w:val="24"/>
        </w:rPr>
        <w:t>位）发生估值</w:t>
      </w:r>
      <w:r>
        <w:rPr>
          <w:rStyle w:val="read"/>
          <w:rFonts w:ascii="宋体" w:hAnsi="宋体"/>
          <w:sz w:val="24"/>
        </w:rPr>
        <w:t>错误</w:t>
      </w:r>
      <w:r>
        <w:rPr>
          <w:rStyle w:val="read"/>
          <w:rFonts w:ascii="宋体" w:hAnsi="宋体" w:hint="eastAsia"/>
          <w:sz w:val="24"/>
        </w:rPr>
        <w:t>时，</w:t>
      </w:r>
      <w:r>
        <w:rPr>
          <w:rStyle w:val="read"/>
          <w:rFonts w:ascii="宋体" w:hAnsi="宋体" w:hint="eastAsia"/>
          <w:sz w:val="24"/>
        </w:rPr>
        <w:lastRenderedPageBreak/>
        <w:t>视为该类基金份额净值错误；基金份额净值出现错误时，基金管理人应当立即予以纠正，通报基金托管人，并采取合理的措施防止损失进一步扩大；错误偏差达到</w:t>
      </w:r>
      <w:r>
        <w:rPr>
          <w:rFonts w:ascii="宋体" w:hAnsi="宋体" w:hint="eastAsia"/>
          <w:bCs/>
          <w:sz w:val="24"/>
          <w:szCs w:val="24"/>
        </w:rPr>
        <w:t>该类</w:t>
      </w:r>
      <w:r>
        <w:rPr>
          <w:rStyle w:val="read"/>
          <w:rFonts w:ascii="宋体" w:hAnsi="宋体" w:hint="eastAsia"/>
          <w:sz w:val="24"/>
        </w:rPr>
        <w:t>基金份额净值的0.25%时，基金管理人应当通报基金托管人并报中国证监会备案</w:t>
      </w:r>
      <w:r>
        <w:rPr>
          <w:rFonts w:ascii="宋体" w:hAnsi="宋体" w:cs="Arial" w:hint="eastAsia"/>
          <w:sz w:val="24"/>
        </w:rPr>
        <w:t>；错误偏差达到</w:t>
      </w:r>
      <w:r>
        <w:rPr>
          <w:rFonts w:ascii="宋体" w:hAnsi="宋体" w:hint="eastAsia"/>
          <w:bCs/>
          <w:sz w:val="24"/>
          <w:szCs w:val="24"/>
        </w:rPr>
        <w:t>该类</w:t>
      </w:r>
      <w:r>
        <w:rPr>
          <w:rFonts w:ascii="宋体" w:hAnsi="宋体" w:cs="Arial" w:hint="eastAsia"/>
          <w:sz w:val="24"/>
        </w:rPr>
        <w:t>基金份额净值的</w:t>
      </w:r>
      <w:r>
        <w:rPr>
          <w:rFonts w:ascii="宋体" w:hAnsi="宋体" w:hint="eastAsia"/>
          <w:sz w:val="24"/>
        </w:rPr>
        <w:t>0.5%时，基金管理人应当公告，并报中国证监会备案</w:t>
      </w:r>
      <w:r>
        <w:rPr>
          <w:rStyle w:val="read"/>
          <w:rFonts w:ascii="宋体" w:hAnsi="宋体" w:hint="eastAsia"/>
          <w:sz w:val="24"/>
        </w:rPr>
        <w:t>；当发生净值计算错误时，由基金管理人负责处理，由此给基金份额持有人和基金造成损失的，应由基金管理人先行赔付，基金管理人按差错情形，有权向其他当事人追偿。</w:t>
      </w:r>
    </w:p>
    <w:p w14:paraId="0D4F1C99" w14:textId="77777777" w:rsidR="004E1659" w:rsidRDefault="00F42610">
      <w:pPr>
        <w:adjustRightInd w:val="0"/>
        <w:snapToGrid w:val="0"/>
        <w:spacing w:line="360" w:lineRule="auto"/>
        <w:ind w:firstLineChars="200" w:firstLine="480"/>
        <w:rPr>
          <w:rStyle w:val="read"/>
          <w:rFonts w:ascii="宋体" w:hAnsi="宋体"/>
          <w:sz w:val="24"/>
        </w:rPr>
      </w:pPr>
      <w:r>
        <w:rPr>
          <w:rStyle w:val="read"/>
          <w:rFonts w:ascii="宋体" w:hAnsi="宋体" w:hint="eastAsia"/>
          <w:sz w:val="24"/>
        </w:rPr>
        <w:t>2.当基金份额净值计算差错给基金和基金份额持有人造成损失需要进行赔偿时，基金管理人和基金托管人应根据实际情况界定双方承担的责任，经确认后按以下条款进行赔偿：</w:t>
      </w:r>
    </w:p>
    <w:p w14:paraId="2F08E08A" w14:textId="77777777" w:rsidR="004E1659" w:rsidRDefault="00F42610">
      <w:pPr>
        <w:adjustRightInd w:val="0"/>
        <w:snapToGrid w:val="0"/>
        <w:spacing w:line="360" w:lineRule="auto"/>
        <w:ind w:firstLineChars="200" w:firstLine="480"/>
        <w:rPr>
          <w:rFonts w:ascii="宋体" w:hAnsi="宋体" w:cs="Arial"/>
          <w:sz w:val="24"/>
        </w:rPr>
      </w:pPr>
      <w:r>
        <w:rPr>
          <w:rStyle w:val="read"/>
          <w:rFonts w:ascii="宋体" w:hAnsi="宋体" w:hint="eastAsia"/>
          <w:sz w:val="24"/>
        </w:rPr>
        <w:t>（1）本基金的基金会计责任方由基金管理人担任，与本基金有关的会计问题，如经双方在平等基础上充分讨论后，尚不能达成一致时，基金管理人向基金托管人出具盖章的书面说明后，按照基金管理人对基金净值信息的计算结果对外予以公布，由此给基金份额持有人和基金财产造成的</w:t>
      </w:r>
      <w:r>
        <w:rPr>
          <w:rFonts w:ascii="宋体" w:hAnsi="宋体" w:cs="Arial" w:hint="eastAsia"/>
          <w:sz w:val="24"/>
        </w:rPr>
        <w:t>损失，由基金管理人负责赔付。</w:t>
      </w:r>
    </w:p>
    <w:p w14:paraId="029AE880"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（2）</w:t>
      </w:r>
      <w:r>
        <w:rPr>
          <w:rFonts w:ascii="宋体" w:hAnsi="宋体" w:hint="eastAsia"/>
          <w:kern w:val="0"/>
          <w:sz w:val="24"/>
        </w:rPr>
        <w:t>若基金管理人计算的各类基金份额净值已由基金托管人复核确认后公告，而且基金托管人未对计算过程提出疑义或要求基金管理人书面说明，任一类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0BD62C3A"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（3）如基金管理人和基金托管人对</w:t>
      </w:r>
      <w:r>
        <w:rPr>
          <w:rFonts w:ascii="宋体" w:hAnsi="宋体" w:hint="eastAsia"/>
          <w:kern w:val="0"/>
          <w:sz w:val="24"/>
        </w:rPr>
        <w:t>各类</w:t>
      </w:r>
      <w:r>
        <w:rPr>
          <w:rFonts w:ascii="宋体" w:hAnsi="宋体" w:cs="Arial" w:hint="eastAsia"/>
          <w:sz w:val="24"/>
        </w:rPr>
        <w:t>基金份额净值的计算结果，虽然多次重新计算和核对，尚不能达成一致时，为避免不能按时公布</w:t>
      </w:r>
      <w:r>
        <w:rPr>
          <w:rFonts w:ascii="宋体" w:hAnsi="宋体" w:hint="eastAsia"/>
          <w:kern w:val="0"/>
          <w:sz w:val="24"/>
        </w:rPr>
        <w:t>各类</w:t>
      </w:r>
      <w:r>
        <w:rPr>
          <w:rFonts w:ascii="宋体" w:hAnsi="宋体" w:cs="Arial" w:hint="eastAsia"/>
          <w:sz w:val="24"/>
        </w:rPr>
        <w:t>基金份额净值的情形，以基金管理人的计算结果对外公布，由此给基金份额持有人和基金造成的损失，由基金管理人负责赔付。</w:t>
      </w:r>
    </w:p>
    <w:p w14:paraId="326B699E"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（4）</w:t>
      </w:r>
      <w:r>
        <w:rPr>
          <w:rFonts w:ascii="宋体" w:hAnsi="宋体"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5DBF93E0"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3.基金管理人和基金托管人由于各自技术系统设置而产生的净值计算尾差，以基金管理人计算结果为准。</w:t>
      </w:r>
    </w:p>
    <w:p w14:paraId="1998DFE4" w14:textId="6960E103"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4.前述内容如法律法规或监管机关另有规定的，从其规定。如果行业另有通行做法，基金管理人和基金托管人应本着平等和保护基金份额持有人利益的原则</w:t>
      </w:r>
      <w:r>
        <w:rPr>
          <w:rFonts w:ascii="宋体" w:hAnsi="宋体" w:cs="Arial" w:hint="eastAsia"/>
          <w:sz w:val="24"/>
        </w:rPr>
        <w:lastRenderedPageBreak/>
        <w:t>进行协商。</w:t>
      </w:r>
    </w:p>
    <w:p w14:paraId="18D1F204" w14:textId="77777777" w:rsidR="004E1659" w:rsidRDefault="00F42610">
      <w:pPr>
        <w:adjustRightInd w:val="0"/>
        <w:snapToGrid w:val="0"/>
        <w:spacing w:line="360" w:lineRule="auto"/>
        <w:ind w:firstLineChars="200" w:firstLine="480"/>
        <w:rPr>
          <w:rFonts w:ascii="宋体" w:hAnsi="宋体"/>
          <w:kern w:val="0"/>
          <w:sz w:val="24"/>
        </w:rPr>
      </w:pPr>
      <w:bookmarkStart w:id="102" w:name="_Hlk172127666"/>
      <w:bookmarkEnd w:id="101"/>
      <w:r>
        <w:rPr>
          <w:rFonts w:ascii="宋体" w:hAnsi="宋体" w:hint="eastAsia"/>
          <w:kern w:val="0"/>
          <w:sz w:val="24"/>
        </w:rPr>
        <w:t>（四）暂停估值与公告基金份额净值的情形</w:t>
      </w:r>
    </w:p>
    <w:p w14:paraId="493E422B" w14:textId="77777777" w:rsidR="004E1659" w:rsidRDefault="00F42610">
      <w:pPr>
        <w:adjustRightInd w:val="0"/>
        <w:snapToGrid w:val="0"/>
        <w:spacing w:line="360" w:lineRule="auto"/>
        <w:ind w:firstLineChars="200" w:firstLine="480"/>
        <w:rPr>
          <w:rFonts w:ascii="宋体" w:hAnsi="宋体"/>
          <w:kern w:val="0"/>
          <w:sz w:val="24"/>
        </w:rPr>
      </w:pPr>
      <w:r>
        <w:rPr>
          <w:rFonts w:ascii="宋体" w:hAnsi="宋体" w:hint="eastAsia"/>
          <w:kern w:val="0"/>
          <w:sz w:val="24"/>
        </w:rPr>
        <w:t>1.基金投资所涉及的证券/期货交易市场或外汇市场遇法定节假日或因其他原因暂停营业时；</w:t>
      </w:r>
    </w:p>
    <w:p w14:paraId="747D46BB" w14:textId="77777777" w:rsidR="004E1659" w:rsidRDefault="00F42610">
      <w:pPr>
        <w:adjustRightInd w:val="0"/>
        <w:snapToGrid w:val="0"/>
        <w:spacing w:line="360" w:lineRule="auto"/>
        <w:ind w:firstLineChars="200" w:firstLine="480"/>
        <w:rPr>
          <w:rFonts w:ascii="宋体" w:hAnsi="宋体"/>
          <w:kern w:val="0"/>
          <w:sz w:val="24"/>
        </w:rPr>
      </w:pPr>
      <w:r>
        <w:rPr>
          <w:rFonts w:ascii="宋体" w:hAnsi="宋体" w:hint="eastAsia"/>
          <w:kern w:val="0"/>
          <w:sz w:val="24"/>
        </w:rPr>
        <w:t>2.因不可抗力或其他情形致使基金管理人、基金托管人无法准确评估基金资产价值时；</w:t>
      </w:r>
    </w:p>
    <w:p w14:paraId="050F6F58" w14:textId="77777777" w:rsidR="004E1659" w:rsidRDefault="00F42610">
      <w:pPr>
        <w:adjustRightInd w:val="0"/>
        <w:snapToGrid w:val="0"/>
        <w:spacing w:line="360" w:lineRule="auto"/>
        <w:ind w:firstLineChars="200" w:firstLine="480"/>
        <w:rPr>
          <w:rFonts w:ascii="宋体" w:hAnsi="宋体"/>
          <w:kern w:val="0"/>
          <w:sz w:val="24"/>
        </w:rPr>
      </w:pPr>
      <w:r>
        <w:rPr>
          <w:rFonts w:ascii="宋体" w:hAnsi="宋体" w:hint="eastAsia"/>
          <w:kern w:val="0"/>
          <w:sz w:val="24"/>
        </w:rPr>
        <w:t>3.当特定资产占前一估值日基金资产净值50%以上的，经与基金托管人协商确认后，基金管理人应当暂停估值；</w:t>
      </w:r>
    </w:p>
    <w:p w14:paraId="3C2F3CBD" w14:textId="44A516E4" w:rsidR="004E1659" w:rsidRDefault="00F42610">
      <w:pPr>
        <w:adjustRightInd w:val="0"/>
        <w:snapToGrid w:val="0"/>
        <w:spacing w:line="360" w:lineRule="auto"/>
        <w:ind w:firstLineChars="200" w:firstLine="480"/>
        <w:rPr>
          <w:rFonts w:ascii="宋体" w:hAnsi="宋体"/>
          <w:kern w:val="0"/>
          <w:sz w:val="24"/>
        </w:rPr>
      </w:pPr>
      <w:r>
        <w:rPr>
          <w:rFonts w:ascii="宋体" w:hAnsi="宋体" w:hint="eastAsia"/>
          <w:kern w:val="0"/>
          <w:sz w:val="24"/>
        </w:rPr>
        <w:t>4.法律法规、中国证监会和《基金合同》认定的其它情形。</w:t>
      </w:r>
    </w:p>
    <w:bookmarkEnd w:id="96"/>
    <w:bookmarkEnd w:id="100"/>
    <w:bookmarkEnd w:id="102"/>
    <w:p w14:paraId="7B39FA38" w14:textId="77777777" w:rsidR="004E1659" w:rsidRDefault="00F42610">
      <w:pPr>
        <w:adjustRightInd w:val="0"/>
        <w:snapToGrid w:val="0"/>
        <w:spacing w:line="360" w:lineRule="auto"/>
        <w:ind w:firstLineChars="200" w:firstLine="480"/>
        <w:rPr>
          <w:rFonts w:ascii="宋体" w:hAnsi="宋体"/>
          <w:kern w:val="0"/>
          <w:sz w:val="24"/>
        </w:rPr>
      </w:pPr>
      <w:r>
        <w:rPr>
          <w:rFonts w:ascii="宋体" w:hAnsi="宋体" w:hint="eastAsia"/>
          <w:kern w:val="0"/>
          <w:sz w:val="24"/>
        </w:rPr>
        <w:t>（五）基金会计制度</w:t>
      </w:r>
    </w:p>
    <w:p w14:paraId="7A413532" w14:textId="77777777" w:rsidR="004E1659" w:rsidRDefault="00F42610">
      <w:pPr>
        <w:adjustRightInd w:val="0"/>
        <w:snapToGrid w:val="0"/>
        <w:spacing w:line="360" w:lineRule="auto"/>
        <w:ind w:firstLineChars="200" w:firstLine="480"/>
        <w:rPr>
          <w:rFonts w:ascii="宋体" w:hAnsi="宋体"/>
          <w:kern w:val="0"/>
          <w:sz w:val="24"/>
        </w:rPr>
      </w:pPr>
      <w:r>
        <w:rPr>
          <w:rFonts w:ascii="宋体" w:hAnsi="宋体" w:hint="eastAsia"/>
          <w:kern w:val="0"/>
          <w:sz w:val="24"/>
        </w:rPr>
        <w:t>按国家有关部门规定的会计制度执行。</w:t>
      </w:r>
    </w:p>
    <w:p w14:paraId="32A2ACEF" w14:textId="77777777" w:rsidR="004E1659" w:rsidRDefault="00F42610">
      <w:pPr>
        <w:adjustRightInd w:val="0"/>
        <w:snapToGrid w:val="0"/>
        <w:spacing w:line="360" w:lineRule="auto"/>
        <w:ind w:firstLineChars="200" w:firstLine="480"/>
        <w:rPr>
          <w:rFonts w:ascii="宋体" w:hAnsi="宋体"/>
          <w:kern w:val="0"/>
          <w:sz w:val="24"/>
        </w:rPr>
      </w:pPr>
      <w:r>
        <w:rPr>
          <w:rFonts w:ascii="宋体" w:hAnsi="宋体" w:hint="eastAsia"/>
          <w:kern w:val="0"/>
          <w:sz w:val="24"/>
        </w:rPr>
        <w:t>（六）基金账册的建立</w:t>
      </w:r>
    </w:p>
    <w:p w14:paraId="25D12AB6" w14:textId="77777777" w:rsidR="004E1659" w:rsidRDefault="00F42610">
      <w:pPr>
        <w:adjustRightInd w:val="0"/>
        <w:snapToGrid w:val="0"/>
        <w:spacing w:line="360" w:lineRule="auto"/>
        <w:ind w:firstLineChars="200" w:firstLine="480"/>
        <w:rPr>
          <w:rFonts w:ascii="宋体" w:hAnsi="宋体"/>
          <w:kern w:val="0"/>
          <w:sz w:val="24"/>
        </w:rPr>
      </w:pPr>
      <w:r>
        <w:rPr>
          <w:rFonts w:ascii="宋体" w:hAnsi="宋体" w:hint="eastAsia"/>
          <w:kern w:val="0"/>
          <w:sz w:val="24"/>
        </w:rPr>
        <w:t>基金管理人进行基金会计核算并编制基金财务会计报告。基金管理人、基金托管人分别独立地设置、记录和保管本基金的全套账册。若基金管理人和基金托管人对会计处理方法存在分歧，应以基金管理人的处理方法为准。若当日核对不符，暂时无法查找到错账的原因而影响到基金净值信息的计算和公告的，以基金管理人的账册为准。</w:t>
      </w:r>
    </w:p>
    <w:p w14:paraId="64605272" w14:textId="77777777" w:rsidR="004E1659" w:rsidRDefault="00F42610">
      <w:pPr>
        <w:adjustRightInd w:val="0"/>
        <w:snapToGrid w:val="0"/>
        <w:spacing w:line="360" w:lineRule="auto"/>
        <w:ind w:firstLineChars="200" w:firstLine="480"/>
        <w:rPr>
          <w:rFonts w:ascii="宋体" w:hAnsi="宋体"/>
          <w:kern w:val="0"/>
          <w:sz w:val="24"/>
        </w:rPr>
      </w:pPr>
      <w:r>
        <w:rPr>
          <w:rFonts w:ascii="宋体" w:hAnsi="宋体" w:hint="eastAsia"/>
          <w:kern w:val="0"/>
          <w:sz w:val="24"/>
        </w:rPr>
        <w:t>（七）基金财务报表与报告的编制和复核</w:t>
      </w:r>
    </w:p>
    <w:p w14:paraId="5E47C072" w14:textId="77777777" w:rsidR="004E1659" w:rsidRDefault="00F42610">
      <w:pPr>
        <w:adjustRightInd w:val="0"/>
        <w:snapToGrid w:val="0"/>
        <w:spacing w:line="360" w:lineRule="auto"/>
        <w:ind w:firstLineChars="200" w:firstLine="480"/>
        <w:rPr>
          <w:rFonts w:ascii="宋体" w:hAnsi="宋体"/>
          <w:kern w:val="0"/>
          <w:sz w:val="24"/>
        </w:rPr>
      </w:pPr>
      <w:r>
        <w:rPr>
          <w:rFonts w:ascii="宋体" w:hAnsi="宋体" w:hint="eastAsia"/>
          <w:kern w:val="0"/>
          <w:sz w:val="24"/>
        </w:rPr>
        <w:t>1.财务报表的编制</w:t>
      </w:r>
    </w:p>
    <w:p w14:paraId="01AEB7E0"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基金财务报表由基金管理人编制，基金托管人复核。</w:t>
      </w:r>
    </w:p>
    <w:p w14:paraId="26D0B36A"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2.报表复核</w:t>
      </w:r>
    </w:p>
    <w:p w14:paraId="2F7FB557"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基金托管人在收到基金管理人编制的基金财务报表后，进行独立的复核。核对不符时，应及时通知基金管理人共同查出原因，进行调整，直至双方数据完全一致。</w:t>
      </w:r>
    </w:p>
    <w:p w14:paraId="515C8E31"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3.财务报表的编制与复核时间安排</w:t>
      </w:r>
    </w:p>
    <w:p w14:paraId="66C7C17E"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（1）报表的编制</w:t>
      </w:r>
    </w:p>
    <w:p w14:paraId="1856FADC"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基金管理人应当在每月结束后5个工作日内完成月度报表的编制；在季度结束之日起15个工作日内完成基金季度报告的编制；在上半年结束之日起两个</w:t>
      </w:r>
      <w:r>
        <w:rPr>
          <w:rFonts w:ascii="宋体" w:hAnsi="宋体" w:cs="Arial"/>
          <w:sz w:val="24"/>
        </w:rPr>
        <w:t>月</w:t>
      </w:r>
      <w:r>
        <w:rPr>
          <w:rFonts w:ascii="宋体" w:hAnsi="宋体" w:cs="Arial" w:hint="eastAsia"/>
          <w:sz w:val="24"/>
        </w:rPr>
        <w:t>内完成基金中期报告的编制；在每年结束之日起三个月内完成基金年度报告的编制。基金年度报告中的财务会计报告应当经过</w:t>
      </w:r>
      <w:r>
        <w:rPr>
          <w:rFonts w:ascii="宋体" w:hAnsi="宋体" w:cs="宋体" w:hint="eastAsia"/>
          <w:bCs/>
          <w:sz w:val="24"/>
        </w:rPr>
        <w:t>符合《中华人民共和国证券法》规定的</w:t>
      </w:r>
      <w:r>
        <w:rPr>
          <w:rFonts w:ascii="宋体" w:hAnsi="宋体" w:cs="宋体" w:hint="eastAsia"/>
          <w:bCs/>
          <w:sz w:val="24"/>
        </w:rPr>
        <w:lastRenderedPageBreak/>
        <w:t>会计师事务所</w:t>
      </w:r>
      <w:r>
        <w:rPr>
          <w:rFonts w:ascii="宋体" w:hAnsi="宋体" w:cs="Arial" w:hint="eastAsia"/>
          <w:sz w:val="24"/>
        </w:rPr>
        <w:t>审计。《基金合同》生效不足两个月的，基金管理人可以不编制当期季度报告、中期报告或者年度报告。</w:t>
      </w:r>
    </w:p>
    <w:p w14:paraId="5BE2759B" w14:textId="77777777" w:rsidR="004E1659" w:rsidRDefault="00F42610">
      <w:pPr>
        <w:pStyle w:val="a0"/>
        <w:adjustRightInd w:val="0"/>
        <w:snapToGrid w:val="0"/>
        <w:spacing w:line="360" w:lineRule="auto"/>
        <w:ind w:firstLine="480"/>
        <w:rPr>
          <w:rFonts w:ascii="宋体" w:hAnsi="宋体" w:cs="Arial"/>
          <w:sz w:val="24"/>
        </w:rPr>
      </w:pPr>
      <w:r>
        <w:rPr>
          <w:rFonts w:ascii="宋体" w:hAnsi="宋体" w:cs="Arial" w:hint="eastAsia"/>
          <w:sz w:val="24"/>
        </w:rPr>
        <w:t>（2）报表的复核</w:t>
      </w:r>
    </w:p>
    <w:p w14:paraId="19C6912E" w14:textId="77777777" w:rsidR="004E1659" w:rsidRDefault="00F42610">
      <w:pPr>
        <w:pStyle w:val="a0"/>
        <w:adjustRightInd w:val="0"/>
        <w:snapToGrid w:val="0"/>
        <w:spacing w:line="360" w:lineRule="auto"/>
        <w:ind w:firstLine="480"/>
        <w:rPr>
          <w:rFonts w:ascii="宋体" w:hAnsi="宋体" w:cs="Arial"/>
          <w:sz w:val="24"/>
        </w:rPr>
      </w:pPr>
      <w:r>
        <w:rPr>
          <w:rFonts w:ascii="宋体"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71BC4B54" w14:textId="77777777" w:rsidR="004E1659" w:rsidRDefault="00F42610">
      <w:pPr>
        <w:pStyle w:val="a0"/>
        <w:adjustRightInd w:val="0"/>
        <w:snapToGrid w:val="0"/>
        <w:spacing w:line="360" w:lineRule="auto"/>
        <w:ind w:firstLine="480"/>
        <w:rPr>
          <w:rFonts w:ascii="宋体" w:hAnsi="宋体" w:cs="Arial"/>
          <w:sz w:val="24"/>
        </w:rPr>
      </w:pPr>
      <w:r>
        <w:rPr>
          <w:rFonts w:ascii="宋体" w:hAnsi="宋体" w:cs="Arial" w:hint="eastAsia"/>
          <w:sz w:val="24"/>
        </w:rPr>
        <w:t>基金管理人应留足充分的时间，便于基金托管人复核相关报表及报告。如果基金管理人与基金托管人不能于应当发布公告之日之前就相关报表达成一致，基金管理人按照其编制的报表对外发布公告，基金托管人有权就相关情况报中国证监会备案。</w:t>
      </w:r>
    </w:p>
    <w:p w14:paraId="5FA2C981" w14:textId="77777777" w:rsidR="004E1659" w:rsidRDefault="00F42610">
      <w:pPr>
        <w:pStyle w:val="a0"/>
        <w:adjustRightInd w:val="0"/>
        <w:snapToGrid w:val="0"/>
        <w:spacing w:line="360" w:lineRule="auto"/>
        <w:ind w:firstLine="480"/>
        <w:rPr>
          <w:rFonts w:ascii="宋体" w:hAnsi="宋体" w:cs="Arial"/>
          <w:sz w:val="24"/>
        </w:rPr>
      </w:pPr>
      <w:r>
        <w:rPr>
          <w:rFonts w:ascii="宋体" w:hAnsi="宋体" w:cs="Arial" w:hint="eastAsia"/>
          <w:sz w:val="24"/>
        </w:rPr>
        <w:t>（八）基金管理人应在编制季度报告、中期报告或者年度报告之前及时向基金托管人提供基金业绩比较基准的基础数据和编制结果。</w:t>
      </w:r>
    </w:p>
    <w:p w14:paraId="03193A9A" w14:textId="77777777" w:rsidR="004E1659" w:rsidRDefault="00F42610">
      <w:pPr>
        <w:pStyle w:val="a0"/>
        <w:adjustRightInd w:val="0"/>
        <w:snapToGrid w:val="0"/>
        <w:spacing w:line="360" w:lineRule="auto"/>
        <w:ind w:firstLine="480"/>
        <w:rPr>
          <w:rFonts w:ascii="宋体" w:hAnsi="宋体" w:cs="Arial"/>
          <w:sz w:val="24"/>
        </w:rPr>
      </w:pPr>
      <w:r>
        <w:rPr>
          <w:rFonts w:ascii="宋体" w:hAnsi="宋体" w:cs="Arial" w:hint="eastAsia"/>
          <w:sz w:val="24"/>
        </w:rPr>
        <w:t>（九）实施侧袋机制期间的基金资产估值</w:t>
      </w:r>
    </w:p>
    <w:p w14:paraId="79E9C629" w14:textId="77777777" w:rsidR="004E1659" w:rsidRDefault="00F42610">
      <w:pPr>
        <w:pStyle w:val="a0"/>
        <w:adjustRightInd w:val="0"/>
        <w:snapToGrid w:val="0"/>
        <w:spacing w:line="360" w:lineRule="auto"/>
        <w:ind w:firstLine="480"/>
        <w:rPr>
          <w:rFonts w:ascii="宋体" w:hAnsi="宋体" w:cs="Arial"/>
          <w:sz w:val="24"/>
        </w:rPr>
      </w:pPr>
      <w:r>
        <w:rPr>
          <w:rFonts w:ascii="宋体" w:hAnsi="宋体" w:cs="Arial" w:hint="eastAsia"/>
          <w:sz w:val="24"/>
        </w:rPr>
        <w:t>本基金实施侧袋机制的，应根据本部分的约定对主袋账户资产进行估值并披露主袋账户的基金净值信息，暂停披露侧袋账户份额净值。</w:t>
      </w:r>
    </w:p>
    <w:p w14:paraId="18641726" w14:textId="77777777" w:rsidR="004E1659" w:rsidRDefault="004E1659">
      <w:pPr>
        <w:pStyle w:val="a0"/>
        <w:adjustRightInd w:val="0"/>
        <w:snapToGrid w:val="0"/>
        <w:spacing w:line="360" w:lineRule="auto"/>
        <w:ind w:firstLine="480"/>
        <w:rPr>
          <w:rFonts w:ascii="宋体" w:hAnsi="宋体" w:cs="Arial"/>
          <w:sz w:val="24"/>
        </w:rPr>
      </w:pPr>
    </w:p>
    <w:p w14:paraId="52D8C7C6" w14:textId="77777777" w:rsidR="004E1659" w:rsidRDefault="00F42610">
      <w:pPr>
        <w:pStyle w:val="2"/>
        <w:spacing w:line="360" w:lineRule="auto"/>
        <w:jc w:val="center"/>
        <w:rPr>
          <w:rFonts w:ascii="宋体" w:eastAsia="宋体" w:hAnsi="宋体"/>
          <w:sz w:val="30"/>
        </w:rPr>
      </w:pPr>
      <w:bookmarkStart w:id="103" w:name="_Toc516758903"/>
      <w:r>
        <w:rPr>
          <w:rFonts w:ascii="宋体" w:eastAsia="宋体" w:hAnsi="宋体" w:hint="eastAsia"/>
          <w:sz w:val="30"/>
        </w:rPr>
        <w:t>九、基金收益分配</w:t>
      </w:r>
      <w:bookmarkEnd w:id="103"/>
    </w:p>
    <w:p w14:paraId="6174CEE5" w14:textId="77777777" w:rsidR="004E1659" w:rsidRDefault="00F42610">
      <w:pPr>
        <w:spacing w:line="360" w:lineRule="auto"/>
        <w:ind w:firstLineChars="200" w:firstLine="480"/>
        <w:rPr>
          <w:rFonts w:ascii="宋体" w:hAnsi="宋体" w:cs="Arial"/>
          <w:sz w:val="24"/>
        </w:rPr>
      </w:pPr>
      <w:bookmarkStart w:id="104" w:name="_Hlk172127746"/>
      <w:r>
        <w:rPr>
          <w:rFonts w:ascii="宋体" w:hAnsi="宋体" w:cs="Arial" w:hint="eastAsia"/>
          <w:sz w:val="24"/>
        </w:rPr>
        <w:t>基金收益分配是指按规定将基金的可分配收益按基金份额进行比例分配。</w:t>
      </w:r>
    </w:p>
    <w:p w14:paraId="59320A78" w14:textId="77777777" w:rsidR="004E1659" w:rsidRDefault="00F42610">
      <w:pPr>
        <w:spacing w:line="360" w:lineRule="auto"/>
        <w:ind w:firstLineChars="200" w:firstLine="480"/>
        <w:rPr>
          <w:rFonts w:ascii="宋体" w:hAnsi="宋体" w:cs="Arial"/>
          <w:sz w:val="24"/>
        </w:rPr>
      </w:pPr>
      <w:r>
        <w:rPr>
          <w:rFonts w:ascii="宋体" w:hAnsi="宋体" w:cs="Arial" w:hint="eastAsia"/>
          <w:sz w:val="24"/>
        </w:rPr>
        <w:t>（一）基金收益分配的原则</w:t>
      </w:r>
    </w:p>
    <w:p w14:paraId="6FC89148" w14:textId="77777777" w:rsidR="004E1659" w:rsidRDefault="00F42610">
      <w:pPr>
        <w:spacing w:line="360" w:lineRule="auto"/>
        <w:ind w:firstLineChars="200" w:firstLine="480"/>
        <w:rPr>
          <w:rFonts w:ascii="宋体" w:hAnsi="宋体" w:cs="Arial"/>
          <w:sz w:val="24"/>
        </w:rPr>
      </w:pPr>
      <w:r>
        <w:rPr>
          <w:rFonts w:ascii="宋体" w:hAnsi="宋体" w:cs="Arial" w:hint="eastAsia"/>
          <w:sz w:val="24"/>
        </w:rPr>
        <w:t>基金收益分配应遵循下列原则：</w:t>
      </w:r>
    </w:p>
    <w:p w14:paraId="7C7A6260" w14:textId="77777777" w:rsidR="004E1659" w:rsidRDefault="00F42610">
      <w:pPr>
        <w:spacing w:line="360" w:lineRule="auto"/>
        <w:ind w:firstLineChars="200" w:firstLine="480"/>
        <w:rPr>
          <w:rFonts w:ascii="宋体" w:hAnsi="宋体" w:cs="Arial"/>
          <w:sz w:val="24"/>
        </w:rPr>
      </w:pPr>
      <w:r>
        <w:rPr>
          <w:rFonts w:ascii="宋体" w:hAnsi="宋体" w:cs="Arial" w:hint="eastAsia"/>
          <w:sz w:val="24"/>
        </w:rPr>
        <w:t>1.本基金在符合有关基金分红条件的前提下可进行收益分配，每次收益分配比例等具体分红方案见基金管理人根据基金运作情况届时不定期发布的相关分红公告，若《基金合同》生效不满3个月可不进行收益分配；</w:t>
      </w:r>
    </w:p>
    <w:p w14:paraId="7E1CFA60" w14:textId="77777777" w:rsidR="004E1659" w:rsidRDefault="00F42610">
      <w:pPr>
        <w:spacing w:line="360" w:lineRule="auto"/>
        <w:ind w:firstLineChars="200" w:firstLine="480"/>
        <w:rPr>
          <w:rFonts w:ascii="宋体" w:hAnsi="宋体" w:cs="Arial"/>
          <w:sz w:val="24"/>
        </w:rPr>
      </w:pPr>
      <w:r>
        <w:rPr>
          <w:rFonts w:ascii="宋体" w:hAnsi="宋体" w:cs="Arial" w:hint="eastAsia"/>
          <w:sz w:val="24"/>
        </w:rPr>
        <w:t>2.本基金收益分配仅有现金分红一种方式；</w:t>
      </w:r>
    </w:p>
    <w:p w14:paraId="38BE3EAB" w14:textId="77777777" w:rsidR="004E1659" w:rsidRDefault="00F42610">
      <w:pPr>
        <w:spacing w:line="360" w:lineRule="auto"/>
        <w:ind w:firstLineChars="200" w:firstLine="480"/>
        <w:rPr>
          <w:rFonts w:ascii="宋体" w:hAnsi="宋体" w:cs="Arial"/>
          <w:sz w:val="24"/>
        </w:rPr>
      </w:pPr>
      <w:r>
        <w:rPr>
          <w:rFonts w:ascii="宋体" w:hAnsi="宋体" w:cs="Arial"/>
          <w:sz w:val="24"/>
        </w:rPr>
        <w:t>3</w:t>
      </w:r>
      <w:r>
        <w:rPr>
          <w:rFonts w:ascii="宋体" w:hAnsi="宋体" w:cs="Arial" w:hint="eastAsia"/>
          <w:sz w:val="24"/>
        </w:rPr>
        <w:t>.基金收益分配后各类基金份额净值不能低于面值，即基金收益分配基准日的各类基金份额净值减去每单位该类基金份额收益分配金额后不能低于面值；</w:t>
      </w:r>
    </w:p>
    <w:p w14:paraId="75770175" w14:textId="75AE3B35" w:rsidR="004E1659" w:rsidRDefault="00F42610">
      <w:pPr>
        <w:spacing w:line="360" w:lineRule="auto"/>
        <w:ind w:firstLineChars="200" w:firstLine="480"/>
        <w:rPr>
          <w:rFonts w:ascii="宋体" w:hAnsi="宋体" w:cs="Arial"/>
          <w:sz w:val="24"/>
        </w:rPr>
      </w:pPr>
      <w:r>
        <w:rPr>
          <w:rFonts w:ascii="宋体" w:hAnsi="宋体" w:cs="Arial"/>
          <w:sz w:val="24"/>
        </w:rPr>
        <w:t>4</w:t>
      </w:r>
      <w:r>
        <w:rPr>
          <w:rFonts w:ascii="宋体" w:hAnsi="宋体" w:cs="Arial" w:hint="eastAsia"/>
          <w:sz w:val="24"/>
        </w:rPr>
        <w:t>.由于本基金A类基金份额与C类基金份额</w:t>
      </w:r>
      <w:r>
        <w:rPr>
          <w:rFonts w:ascii="宋体" w:hAnsi="宋体" w:cs="Arial" w:hint="eastAsia"/>
          <w:bCs/>
          <w:sz w:val="24"/>
        </w:rPr>
        <w:t>的基金费用不同</w:t>
      </w:r>
      <w:r>
        <w:rPr>
          <w:rFonts w:ascii="宋体" w:hAnsi="宋体" w:cs="Arial" w:hint="eastAsia"/>
          <w:sz w:val="24"/>
        </w:rPr>
        <w:t>，各基金份额类别对应的可供分配利润将有所不同。本基金同一类别的每一基金份额享有同等分</w:t>
      </w:r>
      <w:r>
        <w:rPr>
          <w:rFonts w:ascii="宋体" w:hAnsi="宋体" w:cs="Arial" w:hint="eastAsia"/>
          <w:sz w:val="24"/>
        </w:rPr>
        <w:lastRenderedPageBreak/>
        <w:t>配权；</w:t>
      </w:r>
    </w:p>
    <w:p w14:paraId="717FCF73" w14:textId="77777777" w:rsidR="004E1659" w:rsidRDefault="00F42610">
      <w:pPr>
        <w:spacing w:line="360" w:lineRule="auto"/>
        <w:ind w:firstLineChars="200" w:firstLine="480"/>
        <w:rPr>
          <w:rFonts w:ascii="宋体" w:hAnsi="宋体" w:cs="Arial"/>
          <w:sz w:val="24"/>
        </w:rPr>
      </w:pPr>
      <w:r>
        <w:rPr>
          <w:rFonts w:ascii="宋体" w:hAnsi="宋体" w:cs="Arial"/>
          <w:sz w:val="24"/>
        </w:rPr>
        <w:t>5</w:t>
      </w:r>
      <w:r>
        <w:rPr>
          <w:rFonts w:ascii="宋体" w:hAnsi="宋体" w:cs="Arial" w:hint="eastAsia"/>
          <w:sz w:val="24"/>
        </w:rPr>
        <w:t>.法律法规或监管机关另有规定的，从其规定。</w:t>
      </w:r>
    </w:p>
    <w:p w14:paraId="4F4668FC" w14:textId="38224BA1" w:rsidR="004E1659" w:rsidRDefault="00F42610">
      <w:pPr>
        <w:spacing w:line="360" w:lineRule="auto"/>
        <w:ind w:firstLineChars="200" w:firstLine="480"/>
        <w:rPr>
          <w:rFonts w:ascii="宋体" w:hAnsi="宋体" w:cs="Arial"/>
          <w:sz w:val="24"/>
        </w:rPr>
      </w:pPr>
      <w:r>
        <w:rPr>
          <w:rFonts w:ascii="宋体" w:hAnsi="宋体" w:cs="Arial" w:hint="eastAsia"/>
          <w:sz w:val="24"/>
        </w:rPr>
        <w:t>在不违反法律法规且对基金份额持有人利益无实质性不利影响的前提下，基金管理人在与基金托管人协商一致后，可酌情调整以上基金收益分配原则和支付方式，并于变更实施日前按照《信息披露办法》的规定在规定媒介上公告。</w:t>
      </w:r>
    </w:p>
    <w:p w14:paraId="5B366F46" w14:textId="77777777" w:rsidR="004E1659" w:rsidRDefault="00F42610">
      <w:pPr>
        <w:spacing w:line="360" w:lineRule="auto"/>
        <w:ind w:firstLineChars="200" w:firstLine="480"/>
        <w:rPr>
          <w:rFonts w:ascii="宋体" w:hAnsi="宋体" w:cs="Arial"/>
          <w:sz w:val="24"/>
        </w:rPr>
      </w:pPr>
      <w:r>
        <w:rPr>
          <w:rFonts w:ascii="宋体" w:hAnsi="宋体" w:cs="Arial" w:hint="eastAsia"/>
          <w:sz w:val="24"/>
        </w:rPr>
        <w:t>（二）基金收益分配的时间和程序</w:t>
      </w:r>
    </w:p>
    <w:p w14:paraId="5257C791" w14:textId="16BC1E35" w:rsidR="004E1659" w:rsidRDefault="00F42610">
      <w:pPr>
        <w:spacing w:line="360" w:lineRule="auto"/>
        <w:ind w:firstLineChars="200" w:firstLine="480"/>
        <w:rPr>
          <w:rFonts w:ascii="宋体" w:hAnsi="宋体" w:cs="Arial"/>
          <w:sz w:val="24"/>
        </w:rPr>
      </w:pPr>
      <w:r>
        <w:rPr>
          <w:rFonts w:ascii="宋体" w:hAnsi="宋体" w:cs="Arial" w:hint="eastAsia"/>
          <w:sz w:val="24"/>
        </w:rPr>
        <w:t>本基金收益分配方案由基金管理人拟定，并由基金托管人复核，基金管理人依照《信息披露办法》的有关规定在规定媒介公告。基金收益分配方案公告后（依据具体方案的规定），基金管理人就支付的现金红利向基金托管人发送划款指令，基金托管人按照基金管理人的指令及时进行分红资金的划付。</w:t>
      </w:r>
    </w:p>
    <w:p w14:paraId="0C8FD82D" w14:textId="77777777" w:rsidR="004E1659" w:rsidRDefault="00F42610">
      <w:pPr>
        <w:spacing w:line="360" w:lineRule="auto"/>
        <w:ind w:firstLineChars="200" w:firstLine="480"/>
        <w:rPr>
          <w:rFonts w:ascii="宋体" w:hAnsi="宋体" w:cs="Arial"/>
          <w:sz w:val="24"/>
        </w:rPr>
      </w:pPr>
      <w:r>
        <w:rPr>
          <w:rFonts w:ascii="宋体" w:hAnsi="宋体" w:cs="Arial" w:hint="eastAsia"/>
          <w:sz w:val="24"/>
        </w:rPr>
        <w:t>基金收益分配时所发生的银行转账或其他手续费用由投资人自行承担。</w:t>
      </w:r>
    </w:p>
    <w:bookmarkEnd w:id="104"/>
    <w:p w14:paraId="0564E94E" w14:textId="77777777" w:rsidR="004E1659" w:rsidRDefault="00F42610">
      <w:pPr>
        <w:spacing w:line="360" w:lineRule="auto"/>
        <w:ind w:firstLineChars="200" w:firstLine="480"/>
        <w:rPr>
          <w:rFonts w:ascii="宋体" w:hAnsi="宋体" w:cs="Arial"/>
          <w:sz w:val="24"/>
        </w:rPr>
      </w:pPr>
      <w:r>
        <w:rPr>
          <w:rFonts w:ascii="宋体" w:hAnsi="宋体" w:cs="Arial" w:hint="eastAsia"/>
          <w:sz w:val="24"/>
        </w:rPr>
        <w:t>（三）实施侧袋机制期间的收益分配</w:t>
      </w:r>
    </w:p>
    <w:p w14:paraId="0B56F63C" w14:textId="77777777" w:rsidR="004E1659" w:rsidRDefault="00F42610">
      <w:pPr>
        <w:spacing w:line="360" w:lineRule="auto"/>
        <w:ind w:firstLineChars="200" w:firstLine="480"/>
        <w:rPr>
          <w:rFonts w:ascii="宋体" w:hAnsi="宋体" w:cs="Arial"/>
          <w:sz w:val="24"/>
        </w:rPr>
      </w:pPr>
      <w:r>
        <w:rPr>
          <w:rFonts w:ascii="宋体" w:hAnsi="宋体" w:cs="Arial" w:hint="eastAsia"/>
          <w:sz w:val="24"/>
        </w:rPr>
        <w:t>本基金实施侧袋机制的，侧袋账户不进行收益分配，详见招募说明书的规定或相关公告。</w:t>
      </w:r>
    </w:p>
    <w:p w14:paraId="2231054F" w14:textId="77777777" w:rsidR="004E1659" w:rsidRDefault="004E1659">
      <w:pPr>
        <w:spacing w:line="360" w:lineRule="auto"/>
        <w:ind w:firstLineChars="200" w:firstLine="480"/>
        <w:rPr>
          <w:rFonts w:ascii="宋体" w:hAnsi="宋体" w:cs="Arial"/>
          <w:sz w:val="24"/>
        </w:rPr>
      </w:pPr>
    </w:p>
    <w:p w14:paraId="4DA5734D" w14:textId="77777777" w:rsidR="004E1659" w:rsidRDefault="00F42610">
      <w:pPr>
        <w:pStyle w:val="2"/>
        <w:spacing w:line="360" w:lineRule="auto"/>
        <w:jc w:val="center"/>
        <w:rPr>
          <w:rFonts w:ascii="宋体" w:eastAsia="宋体" w:hAnsi="宋体"/>
          <w:sz w:val="30"/>
        </w:rPr>
      </w:pPr>
      <w:bookmarkStart w:id="105" w:name="_Toc516758904"/>
      <w:r>
        <w:rPr>
          <w:rFonts w:ascii="宋体" w:eastAsia="宋体" w:hAnsi="宋体" w:hint="eastAsia"/>
          <w:sz w:val="30"/>
        </w:rPr>
        <w:t>十、基金信息披露</w:t>
      </w:r>
      <w:bookmarkEnd w:id="105"/>
    </w:p>
    <w:p w14:paraId="5F453560" w14:textId="77777777" w:rsidR="004E1659" w:rsidRDefault="00F42610">
      <w:pPr>
        <w:spacing w:line="360" w:lineRule="auto"/>
        <w:ind w:firstLineChars="200" w:firstLine="480"/>
        <w:rPr>
          <w:sz w:val="24"/>
          <w:szCs w:val="24"/>
        </w:rPr>
      </w:pPr>
      <w:r>
        <w:rPr>
          <w:rFonts w:hint="eastAsia"/>
          <w:sz w:val="24"/>
          <w:szCs w:val="24"/>
        </w:rPr>
        <w:t>（一）保密义务</w:t>
      </w:r>
    </w:p>
    <w:p w14:paraId="7D1D8CFF"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基金托管人和基金管理人应按法律法规、《基金合同》的有关规定进行信息披露，拟公开披露的信息在公开披露之前应予保密。除按《基金法》、《基金合同》、《信息披露办法》、《流动性风险管理规定》及其他有关规定进行信息披露外，基金管理人和基金托管人对基金运作中产生的信息以及从对方获得的业务信息应予保密。但是，如下情况不应视为基金管理人或基金托管人违反保密义务：</w:t>
      </w:r>
    </w:p>
    <w:p w14:paraId="71B70CC4"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1.非因基金管理人和基金托管人的原因导致保密信息被披露、泄露或公开；</w:t>
      </w:r>
    </w:p>
    <w:p w14:paraId="1671BE68"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2.基金管理人和基金托管人为遵守和服从法院判决或裁定、仲裁裁决或中国证监会等监管机构的命令、决定所做出的信息披露或公开；</w:t>
      </w:r>
    </w:p>
    <w:p w14:paraId="24A2515B"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3.因审计、法律等专业服务向外部专业顾问提供信息。</w:t>
      </w:r>
    </w:p>
    <w:p w14:paraId="0217E508" w14:textId="77777777" w:rsidR="004E1659" w:rsidRDefault="00F42610">
      <w:pPr>
        <w:spacing w:line="360" w:lineRule="auto"/>
        <w:ind w:firstLineChars="200" w:firstLine="480"/>
        <w:rPr>
          <w:sz w:val="24"/>
          <w:szCs w:val="24"/>
        </w:rPr>
      </w:pPr>
      <w:r>
        <w:rPr>
          <w:rFonts w:hint="eastAsia"/>
          <w:sz w:val="24"/>
          <w:szCs w:val="24"/>
        </w:rPr>
        <w:t>（二）信息披露的内容</w:t>
      </w:r>
    </w:p>
    <w:p w14:paraId="69BA16A1" w14:textId="0E341BA4"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根据《信息披露办法》的要求，本基金信息披露的文件包括基金招募说明书、</w:t>
      </w:r>
      <w:r>
        <w:rPr>
          <w:rFonts w:ascii="宋体" w:hAnsi="宋体" w:cs="Arial" w:hint="eastAsia"/>
          <w:sz w:val="24"/>
        </w:rPr>
        <w:lastRenderedPageBreak/>
        <w:t>基金合同、托管协议、基金产品资料概要、基金份额发售公告、基金合同生效公告、基金</w:t>
      </w:r>
      <w:r>
        <w:rPr>
          <w:rFonts w:ascii="宋体" w:hAnsi="宋体" w:cs="Arial"/>
          <w:sz w:val="24"/>
        </w:rPr>
        <w:t>清算报告、</w:t>
      </w:r>
      <w:r>
        <w:rPr>
          <w:rFonts w:ascii="宋体" w:hAnsi="宋体" w:cs="Arial" w:hint="eastAsia"/>
          <w:sz w:val="24"/>
        </w:rPr>
        <w:t>基金定期报告（包括基金年度报告、基金中期报告和基金季度报告）、临时报告、澄清公告、基金净值信息、基金份额申购、赎回价格、基金份额持有人大会决议、投资资产支持证券/国债期货/股指期货/股票期权/参与融资业务/投资港股通标的股票/</w:t>
      </w:r>
      <w:r>
        <w:rPr>
          <w:rFonts w:ascii="宋体" w:hAnsi="宋体" w:hint="eastAsia"/>
          <w:bCs/>
          <w:sz w:val="24"/>
          <w:szCs w:val="24"/>
        </w:rPr>
        <w:t>投资非公开发行股票</w:t>
      </w:r>
      <w:r>
        <w:rPr>
          <w:rFonts w:ascii="宋体" w:hAnsi="宋体" w:cs="Arial" w:hint="eastAsia"/>
          <w:sz w:val="24"/>
        </w:rPr>
        <w:t>相关公告、</w:t>
      </w:r>
      <w:r>
        <w:rPr>
          <w:rFonts w:ascii="宋体" w:hAnsi="宋体" w:hint="eastAsia"/>
          <w:bCs/>
          <w:sz w:val="24"/>
          <w:szCs w:val="24"/>
        </w:rPr>
        <w:t>实施侧袋机制期间的信息披露、中国证监会规定的其他信息</w:t>
      </w:r>
      <w:r>
        <w:rPr>
          <w:rFonts w:ascii="宋体" w:hAnsi="宋体" w:cs="Arial" w:hint="eastAsia"/>
          <w:sz w:val="24"/>
        </w:rPr>
        <w:t>等其他必要的公告文件，由基金管理人拟定并负责公布。</w:t>
      </w:r>
    </w:p>
    <w:p w14:paraId="23031D92" w14:textId="77777777" w:rsidR="004E1659" w:rsidRDefault="00F42610">
      <w:pPr>
        <w:spacing w:line="360" w:lineRule="auto"/>
        <w:ind w:firstLineChars="200" w:firstLine="480"/>
        <w:rPr>
          <w:rFonts w:ascii="宋体" w:hAnsi="宋体" w:cs="Arial"/>
          <w:sz w:val="24"/>
        </w:rPr>
      </w:pPr>
      <w:r>
        <w:rPr>
          <w:rFonts w:ascii="宋体" w:hAnsi="宋体" w:cs="Arial" w:hint="eastAsia"/>
          <w:sz w:val="24"/>
        </w:rPr>
        <w:t>基金年度报告中的财务会计报告需经符合《中华人民共和国证券法》规定的会计师事务所审计后，方可披露。</w:t>
      </w:r>
    </w:p>
    <w:p w14:paraId="499236EA" w14:textId="77777777" w:rsidR="004E1659" w:rsidRDefault="00F42610">
      <w:pPr>
        <w:spacing w:line="360" w:lineRule="auto"/>
        <w:ind w:firstLineChars="200" w:firstLine="480"/>
        <w:rPr>
          <w:sz w:val="24"/>
          <w:szCs w:val="24"/>
        </w:rPr>
      </w:pPr>
      <w:r>
        <w:rPr>
          <w:rFonts w:hint="eastAsia"/>
          <w:sz w:val="24"/>
          <w:szCs w:val="24"/>
        </w:rPr>
        <w:t>（三）基金托管人和基金管理人在信息披露中的职责和信息披露程序</w:t>
      </w:r>
    </w:p>
    <w:p w14:paraId="095196CA"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1.职责</w:t>
      </w:r>
    </w:p>
    <w:p w14:paraId="1A126674"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14:paraId="4EF123EA"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对于不需要基金托管人复核的信息，基金管理人在公告前应告知基金托管人。</w:t>
      </w:r>
    </w:p>
    <w:p w14:paraId="13FBB58E"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基金管理人和基金托管人应积极配合、互相监督，保证其履行按照法定方式和限时披露的义务。</w:t>
      </w:r>
    </w:p>
    <w:p w14:paraId="3A70D17E"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基金管理人应当在中国证监会规定的时间内，将应予披露的基金信息通过规定媒介披露。根据法律法规应由基金托管人公开披露的信息，基金托管人将通过规定媒介公开披露。</w:t>
      </w:r>
    </w:p>
    <w:p w14:paraId="15219E80"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当出现下述情况时，基金管理人和基金托管人可暂停或延迟披露基金相关信息：</w:t>
      </w:r>
    </w:p>
    <w:p w14:paraId="45CA522A"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（1）基金投资所涉及的证券/期货交易所或外汇市场遇法定节假日或因其他原因暂停营业时；</w:t>
      </w:r>
    </w:p>
    <w:p w14:paraId="7DBF01E7"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（2）不可抗力；</w:t>
      </w:r>
    </w:p>
    <w:p w14:paraId="23B8E34C"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（3）发生暂停估值的情形；</w:t>
      </w:r>
    </w:p>
    <w:p w14:paraId="06F48F23"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（4）法律法规规定、中国证监会或《基金合同》认定的其他情形。</w:t>
      </w:r>
    </w:p>
    <w:p w14:paraId="6F23F1DA"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2.程序</w:t>
      </w:r>
    </w:p>
    <w:p w14:paraId="5102249E"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lastRenderedPageBreak/>
        <w:t>按有关规定须经基金托管人复核的信息披露文件，由基金管理人起草、并经基金托管人复核后由基金管理人公告。发生《基金合同》中规定需要披露的事项时，按《基金合同》规定公布。</w:t>
      </w:r>
    </w:p>
    <w:p w14:paraId="5A4394F1"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3.信息文本的存放</w:t>
      </w:r>
    </w:p>
    <w:p w14:paraId="6DB5CFB1" w14:textId="77777777" w:rsidR="004E1659" w:rsidRDefault="00F42610">
      <w:pPr>
        <w:pStyle w:val="a0"/>
        <w:spacing w:line="360" w:lineRule="auto"/>
        <w:ind w:firstLine="480"/>
        <w:rPr>
          <w:rFonts w:ascii="宋体" w:hAnsi="宋体" w:cs="Arial"/>
          <w:sz w:val="24"/>
        </w:rPr>
      </w:pPr>
      <w:r>
        <w:rPr>
          <w:rFonts w:ascii="宋体" w:hAnsi="宋体" w:cs="Arial" w:hint="eastAsia"/>
          <w:sz w:val="24"/>
        </w:rPr>
        <w:t>依法必须披露的信息发布后，基金管理人、基金托管人应当按照相关法律法规规定将信息置备于各自住所，供公众查阅、复制。基金管理人和基金托管人应保证文本的内容与所公告的内容完全一致。</w:t>
      </w:r>
    </w:p>
    <w:p w14:paraId="72EDB9F3" w14:textId="77777777" w:rsidR="004E1659" w:rsidRDefault="00F42610">
      <w:pPr>
        <w:pStyle w:val="a0"/>
        <w:spacing w:line="360" w:lineRule="auto"/>
        <w:ind w:firstLine="480"/>
        <w:rPr>
          <w:rFonts w:ascii="宋体" w:hAnsi="宋体" w:cs="Arial"/>
          <w:sz w:val="24"/>
        </w:rPr>
      </w:pPr>
      <w:r>
        <w:rPr>
          <w:rFonts w:ascii="宋体" w:hAnsi="宋体" w:cs="Arial" w:hint="eastAsia"/>
          <w:sz w:val="24"/>
        </w:rPr>
        <w:t>（四）实施侧袋机制期间的信息披露</w:t>
      </w:r>
    </w:p>
    <w:p w14:paraId="25039AD6" w14:textId="77777777" w:rsidR="004E1659" w:rsidRDefault="00F42610">
      <w:pPr>
        <w:pStyle w:val="a0"/>
        <w:spacing w:line="360" w:lineRule="auto"/>
        <w:ind w:firstLine="480"/>
        <w:rPr>
          <w:rFonts w:ascii="宋体" w:hAnsi="宋体" w:cs="Arial"/>
          <w:sz w:val="24"/>
        </w:rPr>
      </w:pPr>
      <w:r>
        <w:rPr>
          <w:rFonts w:ascii="宋体" w:hAnsi="宋体" w:cs="Arial" w:hint="eastAsia"/>
          <w:sz w:val="24"/>
        </w:rPr>
        <w:t>本基金实施侧袋机制的，相关信息披露义务人应当根据法律法规、基金合同和招募说明书的规定进行信息披露，详见招募说明书的规定。</w:t>
      </w:r>
    </w:p>
    <w:p w14:paraId="1657CB74" w14:textId="77777777" w:rsidR="004E1659" w:rsidRDefault="00F42610">
      <w:pPr>
        <w:pStyle w:val="a0"/>
        <w:spacing w:line="360" w:lineRule="auto"/>
        <w:ind w:firstLine="480"/>
        <w:rPr>
          <w:rFonts w:ascii="宋体" w:hAnsi="宋体" w:cs="Arial"/>
          <w:sz w:val="24"/>
        </w:rPr>
      </w:pPr>
      <w:r>
        <w:rPr>
          <w:rFonts w:ascii="宋体" w:hAnsi="宋体" w:cs="Arial" w:hint="eastAsia"/>
          <w:sz w:val="24"/>
        </w:rPr>
        <w:t>（五）法律法规或监管部门对适用于本基金的信息披露另有规定的，从其规定。如规定发生变化的，从其最新规定。</w:t>
      </w:r>
    </w:p>
    <w:p w14:paraId="4124CE19" w14:textId="77777777" w:rsidR="004E1659" w:rsidRDefault="004E1659">
      <w:pPr>
        <w:pStyle w:val="a0"/>
        <w:spacing w:line="360" w:lineRule="auto"/>
        <w:ind w:firstLine="480"/>
        <w:rPr>
          <w:rFonts w:ascii="宋体" w:hAnsi="宋体" w:cs="Arial"/>
          <w:sz w:val="24"/>
        </w:rPr>
      </w:pPr>
    </w:p>
    <w:p w14:paraId="3C036E52" w14:textId="77777777" w:rsidR="004E1659" w:rsidRDefault="00F42610">
      <w:pPr>
        <w:pStyle w:val="2"/>
        <w:spacing w:line="360" w:lineRule="auto"/>
        <w:jc w:val="center"/>
        <w:rPr>
          <w:rFonts w:ascii="宋体" w:eastAsia="宋体" w:hAnsi="宋体"/>
          <w:sz w:val="30"/>
        </w:rPr>
      </w:pPr>
      <w:bookmarkStart w:id="106" w:name="_Toc516758905"/>
      <w:r>
        <w:rPr>
          <w:rFonts w:ascii="宋体" w:eastAsia="宋体" w:hAnsi="宋体" w:hint="eastAsia"/>
          <w:sz w:val="30"/>
        </w:rPr>
        <w:t>十一、基金费用</w:t>
      </w:r>
      <w:bookmarkEnd w:id="106"/>
    </w:p>
    <w:p w14:paraId="6AAC2670" w14:textId="77777777" w:rsidR="004E1659" w:rsidRDefault="00F42610">
      <w:pPr>
        <w:adjustRightInd w:val="0"/>
        <w:snapToGrid w:val="0"/>
        <w:spacing w:line="360" w:lineRule="auto"/>
        <w:ind w:firstLineChars="200" w:firstLine="480"/>
        <w:rPr>
          <w:rFonts w:ascii="宋体" w:hAnsi="宋体" w:cs="Arial"/>
          <w:sz w:val="24"/>
        </w:rPr>
      </w:pPr>
      <w:bookmarkStart w:id="107" w:name="_Hlk212195633"/>
      <w:r>
        <w:rPr>
          <w:rFonts w:ascii="宋体" w:hAnsi="宋体" w:cs="Arial" w:hint="eastAsia"/>
          <w:sz w:val="24"/>
        </w:rPr>
        <w:t>（一）基金管理费的计提比例和计提方法</w:t>
      </w:r>
    </w:p>
    <w:p w14:paraId="694B910B" w14:textId="77777777" w:rsidR="004E1659" w:rsidRDefault="00F42610">
      <w:pPr>
        <w:spacing w:line="360" w:lineRule="auto"/>
        <w:ind w:firstLineChars="200" w:firstLine="480"/>
        <w:rPr>
          <w:bCs/>
          <w:sz w:val="24"/>
          <w14:ligatures w14:val="standardContextual"/>
        </w:rPr>
      </w:pPr>
      <w:r>
        <w:rPr>
          <w:rFonts w:hint="eastAsia"/>
          <w:bCs/>
          <w:sz w:val="24"/>
          <w14:ligatures w14:val="standardContextual"/>
        </w:rPr>
        <w:t>本基金根据每一基金份额的持有期限与持有期间年化收益率，在赎回</w:t>
      </w:r>
      <w:bookmarkStart w:id="108" w:name="_Hlk195865221"/>
      <w:r>
        <w:rPr>
          <w:rFonts w:hint="eastAsia"/>
          <w:bCs/>
          <w:sz w:val="24"/>
          <w14:ligatures w14:val="standardContextual"/>
        </w:rPr>
        <w:t>、转出</w:t>
      </w:r>
      <w:bookmarkEnd w:id="108"/>
      <w:r>
        <w:rPr>
          <w:rFonts w:hint="eastAsia"/>
          <w:bCs/>
          <w:sz w:val="24"/>
          <w14:ligatures w14:val="standardContextual"/>
        </w:rPr>
        <w:t>基金份额</w:t>
      </w:r>
      <w:bookmarkStart w:id="109" w:name="_Hlk195865226"/>
      <w:r>
        <w:rPr>
          <w:rFonts w:hint="eastAsia"/>
          <w:bCs/>
          <w:sz w:val="24"/>
          <w14:ligatures w14:val="standardContextual"/>
        </w:rPr>
        <w:t>或基金合同终止的情形发生</w:t>
      </w:r>
      <w:bookmarkEnd w:id="109"/>
      <w:r>
        <w:rPr>
          <w:rFonts w:hint="eastAsia"/>
          <w:bCs/>
          <w:sz w:val="24"/>
          <w14:ligatures w14:val="standardContextual"/>
        </w:rPr>
        <w:t>时确定该笔基金份额对应的管理费。当投资者赎回</w:t>
      </w:r>
      <w:bookmarkStart w:id="110" w:name="_Hlk195865234"/>
      <w:r>
        <w:rPr>
          <w:rFonts w:hint="eastAsia"/>
          <w:bCs/>
          <w:sz w:val="24"/>
          <w14:ligatures w14:val="standardContextual"/>
        </w:rPr>
        <w:t>、转出基金份额或基金合同终止的情形发生</w:t>
      </w:r>
      <w:bookmarkEnd w:id="110"/>
      <w:r>
        <w:rPr>
          <w:rFonts w:hint="eastAsia"/>
          <w:bCs/>
          <w:sz w:val="24"/>
          <w14:ligatures w14:val="standardContextual"/>
        </w:rPr>
        <w:t>时，持有期限不足一年（即</w:t>
      </w:r>
      <w:r>
        <w:rPr>
          <w:rFonts w:hint="eastAsia"/>
          <w:bCs/>
          <w:sz w:val="24"/>
          <w14:ligatures w14:val="standardContextual"/>
        </w:rPr>
        <w:t>365</w:t>
      </w:r>
      <w:r>
        <w:rPr>
          <w:rFonts w:hint="eastAsia"/>
          <w:bCs/>
          <w:sz w:val="24"/>
          <w14:ligatures w14:val="standardContextual"/>
        </w:rPr>
        <w:t>天，下同），则按</w:t>
      </w:r>
      <w:r>
        <w:rPr>
          <w:rFonts w:hint="eastAsia"/>
          <w:bCs/>
          <w:sz w:val="24"/>
          <w14:ligatures w14:val="standardContextual"/>
        </w:rPr>
        <w:t>1.20%</w:t>
      </w:r>
      <w:r>
        <w:rPr>
          <w:rFonts w:hint="eastAsia"/>
          <w:bCs/>
          <w:sz w:val="24"/>
          <w14:ligatures w14:val="standardContextual"/>
        </w:rPr>
        <w:t>年费率收取管理费；持有期限达到一年及以上，则根据持有期间年化收益率分为以下三种情况，分别确定对应的管理费率档位：</w:t>
      </w:r>
    </w:p>
    <w:p w14:paraId="13084497" w14:textId="77777777" w:rsidR="004E1659" w:rsidRDefault="00F42610">
      <w:pPr>
        <w:spacing w:line="360" w:lineRule="auto"/>
        <w:ind w:firstLineChars="200" w:firstLine="480"/>
        <w:rPr>
          <w:bCs/>
          <w:sz w:val="24"/>
          <w14:ligatures w14:val="standardContextual"/>
        </w:rPr>
      </w:pPr>
      <w:r>
        <w:rPr>
          <w:rFonts w:hint="eastAsia"/>
          <w:bCs/>
          <w:sz w:val="24"/>
          <w14:ligatures w14:val="standardContextual"/>
        </w:rPr>
        <w:t>若持有期间相对业绩比较基准的年化超额收益率（扣除超额管理费后）超过</w:t>
      </w:r>
      <w:r>
        <w:rPr>
          <w:rFonts w:hint="eastAsia"/>
          <w:bCs/>
          <w:sz w:val="24"/>
          <w14:ligatures w14:val="standardContextual"/>
        </w:rPr>
        <w:t>6%</w:t>
      </w:r>
      <w:r>
        <w:rPr>
          <w:rFonts w:hint="eastAsia"/>
          <w:bCs/>
          <w:sz w:val="24"/>
          <w14:ligatures w14:val="standardContextual"/>
        </w:rPr>
        <w:t>且持有收益率（扣除超额管理费后）为正，按</w:t>
      </w:r>
      <w:r>
        <w:rPr>
          <w:rFonts w:hint="eastAsia"/>
          <w:bCs/>
          <w:sz w:val="24"/>
          <w14:ligatures w14:val="standardContextual"/>
        </w:rPr>
        <w:t>1.50%</w:t>
      </w:r>
      <w:r>
        <w:rPr>
          <w:rFonts w:hint="eastAsia"/>
          <w:bCs/>
          <w:sz w:val="24"/>
          <w14:ligatures w14:val="standardContextual"/>
        </w:rPr>
        <w:t>年费率确认管理费；若持有期间的年化超额收益率在</w:t>
      </w:r>
      <w:r>
        <w:rPr>
          <w:rFonts w:hint="eastAsia"/>
          <w:bCs/>
          <w:sz w:val="24"/>
          <w14:ligatures w14:val="standardContextual"/>
        </w:rPr>
        <w:t>-3%</w:t>
      </w:r>
      <w:r>
        <w:rPr>
          <w:rFonts w:hint="eastAsia"/>
          <w:bCs/>
          <w:sz w:val="24"/>
          <w14:ligatures w14:val="standardContextual"/>
        </w:rPr>
        <w:t>及以下，按</w:t>
      </w:r>
      <w:r>
        <w:rPr>
          <w:rFonts w:hint="eastAsia"/>
          <w:bCs/>
          <w:sz w:val="24"/>
          <w14:ligatures w14:val="standardContextual"/>
        </w:rPr>
        <w:t>0.60%</w:t>
      </w:r>
      <w:r>
        <w:rPr>
          <w:rFonts w:hint="eastAsia"/>
          <w:bCs/>
          <w:sz w:val="24"/>
          <w14:ligatures w14:val="standardContextual"/>
        </w:rPr>
        <w:t>年费率确认管理费；其他情形按</w:t>
      </w:r>
      <w:r>
        <w:rPr>
          <w:rFonts w:hint="eastAsia"/>
          <w:bCs/>
          <w:sz w:val="24"/>
          <w14:ligatures w14:val="standardContextual"/>
        </w:rPr>
        <w:t>1.20%</w:t>
      </w:r>
      <w:r>
        <w:rPr>
          <w:rFonts w:hint="eastAsia"/>
          <w:bCs/>
          <w:sz w:val="24"/>
          <w14:ligatures w14:val="standardContextual"/>
        </w:rPr>
        <w:t>年费率确认管理费。</w:t>
      </w:r>
    </w:p>
    <w:tbl>
      <w:tblPr>
        <w:tblStyle w:val="50"/>
        <w:tblW w:w="6658" w:type="dxa"/>
        <w:jc w:val="center"/>
        <w:tblLook w:val="04A0" w:firstRow="1" w:lastRow="0" w:firstColumn="1" w:lastColumn="0" w:noHBand="0" w:noVBand="1"/>
      </w:tblPr>
      <w:tblGrid>
        <w:gridCol w:w="3827"/>
        <w:gridCol w:w="2831"/>
      </w:tblGrid>
      <w:tr w:rsidR="004E1659" w14:paraId="2A3E9C0F" w14:textId="77777777">
        <w:trPr>
          <w:trHeight w:val="90"/>
          <w:jc w:val="center"/>
        </w:trPr>
        <w:tc>
          <w:tcPr>
            <w:tcW w:w="3827" w:type="dxa"/>
            <w:vAlign w:val="center"/>
          </w:tcPr>
          <w:p w14:paraId="3F3C166B" w14:textId="77777777" w:rsidR="004E1659" w:rsidRDefault="00F42610">
            <w:pPr>
              <w:spacing w:line="276" w:lineRule="auto"/>
              <w:jc w:val="center"/>
              <w:rPr>
                <w:b/>
                <w:sz w:val="22"/>
                <w14:ligatures w14:val="standardContextual"/>
              </w:rPr>
            </w:pPr>
            <w:r>
              <w:rPr>
                <w:rFonts w:hint="eastAsia"/>
                <w:b/>
                <w:sz w:val="22"/>
                <w14:ligatures w14:val="standardContextual"/>
              </w:rPr>
              <w:t>持有期间年化收益率（</w:t>
            </w:r>
            <w:r>
              <w:rPr>
                <w:rFonts w:hint="eastAsia"/>
                <w:b/>
                <w:sz w:val="22"/>
                <w14:ligatures w14:val="standardContextual"/>
              </w:rPr>
              <w:t>R</w:t>
            </w:r>
            <w:r>
              <w:rPr>
                <w:rFonts w:hint="eastAsia"/>
                <w:b/>
                <w:sz w:val="22"/>
                <w14:ligatures w14:val="standardContextual"/>
              </w:rPr>
              <w:t>）</w:t>
            </w:r>
          </w:p>
        </w:tc>
        <w:tc>
          <w:tcPr>
            <w:tcW w:w="2831" w:type="dxa"/>
            <w:vAlign w:val="center"/>
          </w:tcPr>
          <w:p w14:paraId="7F34DE3C" w14:textId="77777777" w:rsidR="004E1659" w:rsidRDefault="00F42610">
            <w:pPr>
              <w:spacing w:line="276" w:lineRule="auto"/>
              <w:jc w:val="center"/>
              <w:rPr>
                <w:b/>
                <w:sz w:val="22"/>
                <w14:ligatures w14:val="standardContextual"/>
              </w:rPr>
            </w:pPr>
            <w:r>
              <w:rPr>
                <w:rFonts w:hint="eastAsia"/>
                <w:b/>
                <w:sz w:val="22"/>
                <w14:ligatures w14:val="standardContextual"/>
              </w:rPr>
              <w:t>管理费率（年费率）</w:t>
            </w:r>
          </w:p>
        </w:tc>
      </w:tr>
      <w:tr w:rsidR="004E1659" w14:paraId="5633A3FF" w14:textId="77777777">
        <w:trPr>
          <w:trHeight w:val="228"/>
          <w:jc w:val="center"/>
        </w:trPr>
        <w:tc>
          <w:tcPr>
            <w:tcW w:w="3827" w:type="dxa"/>
            <w:vAlign w:val="center"/>
          </w:tcPr>
          <w:p w14:paraId="3EF5B375" w14:textId="77777777" w:rsidR="004E1659" w:rsidRDefault="00F42610">
            <w:pPr>
              <w:spacing w:line="276" w:lineRule="auto"/>
              <w:jc w:val="center"/>
              <w:rPr>
                <w:b/>
                <w:sz w:val="22"/>
                <w14:ligatures w14:val="standardContextual"/>
              </w:rPr>
            </w:pPr>
            <w:r>
              <w:rPr>
                <w:bCs/>
                <w:sz w:val="22"/>
              </w:rPr>
              <w:t>R</w:t>
            </w:r>
            <w:r>
              <w:rPr>
                <w:rFonts w:ascii="仿宋" w:eastAsia="仿宋" w:hAnsi="仿宋"/>
                <w:bCs/>
                <w:sz w:val="22"/>
              </w:rPr>
              <w:t>＞</w:t>
            </w:r>
            <w:r>
              <w:rPr>
                <w:bCs/>
                <w:sz w:val="22"/>
              </w:rPr>
              <w:t>R</w:t>
            </w:r>
            <w:r>
              <w:rPr>
                <w:rFonts w:ascii="Cambria" w:hAnsi="Cambria"/>
                <w:spacing w:val="-2"/>
                <w:sz w:val="22"/>
                <w:vertAlign w:val="subscript"/>
              </w:rPr>
              <w:t>b</w:t>
            </w:r>
            <w:r>
              <w:rPr>
                <w:bCs/>
                <w:sz w:val="22"/>
              </w:rPr>
              <w:t>+6%</w:t>
            </w:r>
            <w:r>
              <w:rPr>
                <w:bCs/>
                <w:sz w:val="22"/>
              </w:rPr>
              <w:t>，</w:t>
            </w:r>
            <w:r>
              <w:rPr>
                <w:bCs/>
                <w:sz w:val="22"/>
              </w:rPr>
              <w:t>R</w:t>
            </w:r>
            <w:r>
              <w:rPr>
                <w:rFonts w:ascii="仿宋" w:eastAsia="仿宋" w:hAnsi="仿宋"/>
                <w:bCs/>
                <w:sz w:val="22"/>
              </w:rPr>
              <w:t>＞</w:t>
            </w:r>
            <w:r>
              <w:rPr>
                <w:bCs/>
                <w:sz w:val="22"/>
              </w:rPr>
              <w:t>0</w:t>
            </w:r>
          </w:p>
        </w:tc>
        <w:tc>
          <w:tcPr>
            <w:tcW w:w="2831" w:type="dxa"/>
            <w:vAlign w:val="center"/>
          </w:tcPr>
          <w:p w14:paraId="72F25855" w14:textId="77777777" w:rsidR="004E1659" w:rsidRDefault="00F42610">
            <w:pPr>
              <w:spacing w:line="276" w:lineRule="auto"/>
              <w:jc w:val="center"/>
              <w:rPr>
                <w:rFonts w:ascii="Cambria" w:eastAsia="仿宋" w:hAnsi="Cambria"/>
                <w:kern w:val="0"/>
                <w:sz w:val="22"/>
                <w14:ligatures w14:val="standardContextual"/>
              </w:rPr>
            </w:pPr>
            <w:r>
              <w:rPr>
                <w:rFonts w:ascii="Cambria" w:eastAsia="仿宋" w:hAnsi="Cambria"/>
                <w:kern w:val="0"/>
                <w:sz w:val="22"/>
                <w14:ligatures w14:val="standardContextual"/>
              </w:rPr>
              <w:t>1.50%/</w:t>
            </w:r>
            <w:r>
              <w:rPr>
                <w:rFonts w:ascii="宋体" w:hAnsi="宋体"/>
                <w:bCs/>
                <w:kern w:val="0"/>
                <w:sz w:val="22"/>
                <w14:ligatures w14:val="standardContextual"/>
              </w:rPr>
              <w:t>年</w:t>
            </w:r>
          </w:p>
        </w:tc>
      </w:tr>
      <w:tr w:rsidR="004E1659" w14:paraId="254628AC" w14:textId="77777777">
        <w:trPr>
          <w:trHeight w:val="97"/>
          <w:jc w:val="center"/>
        </w:trPr>
        <w:tc>
          <w:tcPr>
            <w:tcW w:w="3827" w:type="dxa"/>
            <w:vAlign w:val="center"/>
          </w:tcPr>
          <w:p w14:paraId="162755DD" w14:textId="77777777" w:rsidR="004E1659" w:rsidRDefault="00F42610">
            <w:pPr>
              <w:spacing w:line="276" w:lineRule="auto"/>
              <w:jc w:val="center"/>
              <w:rPr>
                <w:bCs/>
                <w:sz w:val="22"/>
                <w14:ligatures w14:val="standardContextual"/>
              </w:rPr>
            </w:pPr>
            <w:r>
              <w:rPr>
                <w:bCs/>
                <w:sz w:val="22"/>
              </w:rPr>
              <w:t>R</w:t>
            </w:r>
            <w:r>
              <w:rPr>
                <w:rFonts w:ascii="仿宋" w:eastAsia="仿宋" w:hAnsi="仿宋"/>
                <w:bCs/>
                <w:sz w:val="22"/>
              </w:rPr>
              <w:t>≤</w:t>
            </w:r>
            <w:r>
              <w:rPr>
                <w:bCs/>
                <w:sz w:val="22"/>
              </w:rPr>
              <w:t>R</w:t>
            </w:r>
            <w:r>
              <w:rPr>
                <w:rFonts w:ascii="Cambria" w:hAnsi="Cambria"/>
                <w:spacing w:val="-2"/>
                <w:sz w:val="22"/>
                <w:vertAlign w:val="subscript"/>
              </w:rPr>
              <w:t>b</w:t>
            </w:r>
            <w:r>
              <w:rPr>
                <w:bCs/>
                <w:sz w:val="22"/>
              </w:rPr>
              <w:t>-3%</w:t>
            </w:r>
          </w:p>
        </w:tc>
        <w:tc>
          <w:tcPr>
            <w:tcW w:w="2831" w:type="dxa"/>
            <w:vAlign w:val="center"/>
          </w:tcPr>
          <w:p w14:paraId="7E15CC28" w14:textId="77777777" w:rsidR="004E1659" w:rsidRDefault="00F42610">
            <w:pPr>
              <w:spacing w:line="276" w:lineRule="auto"/>
              <w:jc w:val="center"/>
              <w:rPr>
                <w:rFonts w:ascii="Cambria" w:eastAsia="仿宋" w:hAnsi="Cambria"/>
                <w:kern w:val="0"/>
                <w:sz w:val="22"/>
                <w14:ligatures w14:val="standardContextual"/>
              </w:rPr>
            </w:pPr>
            <w:r>
              <w:rPr>
                <w:rFonts w:ascii="Cambria" w:eastAsia="仿宋" w:hAnsi="Cambria"/>
                <w:kern w:val="0"/>
                <w:sz w:val="22"/>
                <w14:ligatures w14:val="standardContextual"/>
              </w:rPr>
              <w:t>0.60%/</w:t>
            </w:r>
            <w:r>
              <w:rPr>
                <w:rFonts w:ascii="宋体" w:hAnsi="宋体"/>
                <w:bCs/>
                <w:kern w:val="0"/>
                <w:sz w:val="22"/>
                <w14:ligatures w14:val="standardContextual"/>
              </w:rPr>
              <w:t>年</w:t>
            </w:r>
          </w:p>
        </w:tc>
      </w:tr>
      <w:tr w:rsidR="004E1659" w14:paraId="021B50E2" w14:textId="77777777">
        <w:trPr>
          <w:trHeight w:val="90"/>
          <w:jc w:val="center"/>
        </w:trPr>
        <w:tc>
          <w:tcPr>
            <w:tcW w:w="3827" w:type="dxa"/>
            <w:vAlign w:val="center"/>
          </w:tcPr>
          <w:p w14:paraId="0F9317FE" w14:textId="77777777" w:rsidR="004E1659" w:rsidRDefault="00F42610">
            <w:pPr>
              <w:spacing w:line="276" w:lineRule="auto"/>
              <w:jc w:val="center"/>
              <w:rPr>
                <w:bCs/>
                <w:sz w:val="22"/>
                <w14:ligatures w14:val="standardContextual"/>
              </w:rPr>
            </w:pPr>
            <w:r>
              <w:rPr>
                <w:bCs/>
                <w:sz w:val="22"/>
                <w14:ligatures w14:val="standardContextual"/>
              </w:rPr>
              <w:t>其他情形</w:t>
            </w:r>
          </w:p>
        </w:tc>
        <w:tc>
          <w:tcPr>
            <w:tcW w:w="2831" w:type="dxa"/>
            <w:vAlign w:val="center"/>
          </w:tcPr>
          <w:p w14:paraId="190C2605" w14:textId="77777777" w:rsidR="004E1659" w:rsidRDefault="00F42610">
            <w:pPr>
              <w:spacing w:line="276" w:lineRule="auto"/>
              <w:jc w:val="center"/>
              <w:rPr>
                <w:rFonts w:ascii="Cambria" w:eastAsia="仿宋" w:hAnsi="Cambria"/>
                <w:kern w:val="0"/>
                <w:sz w:val="22"/>
                <w14:ligatures w14:val="standardContextual"/>
              </w:rPr>
            </w:pPr>
            <w:r>
              <w:rPr>
                <w:rFonts w:ascii="Cambria" w:eastAsia="仿宋" w:hAnsi="Cambria"/>
                <w:kern w:val="0"/>
                <w:sz w:val="22"/>
                <w14:ligatures w14:val="standardContextual"/>
              </w:rPr>
              <w:t>1.20%/</w:t>
            </w:r>
            <w:r>
              <w:rPr>
                <w:rFonts w:ascii="宋体" w:hAnsi="宋体"/>
                <w:bCs/>
                <w:kern w:val="0"/>
                <w:sz w:val="22"/>
                <w14:ligatures w14:val="standardContextual"/>
              </w:rPr>
              <w:t>年</w:t>
            </w:r>
          </w:p>
        </w:tc>
      </w:tr>
    </w:tbl>
    <w:p w14:paraId="6CFA9104" w14:textId="77777777" w:rsidR="004E1659" w:rsidRDefault="00F42610">
      <w:pPr>
        <w:spacing w:line="360" w:lineRule="auto"/>
        <w:rPr>
          <w:bCs/>
          <w:sz w:val="24"/>
          <w14:ligatures w14:val="standardContextual"/>
        </w:rPr>
      </w:pPr>
      <w:r>
        <w:rPr>
          <w:rFonts w:hint="eastAsia"/>
          <w:bCs/>
          <w:sz w:val="24"/>
          <w14:ligatures w14:val="standardContextual"/>
        </w:rPr>
        <w:t>注：①</w:t>
      </w:r>
      <w:r>
        <w:rPr>
          <w:bCs/>
          <w:sz w:val="24"/>
          <w14:ligatures w14:val="standardContextual"/>
        </w:rPr>
        <w:t>R</w:t>
      </w:r>
      <w:r>
        <w:rPr>
          <w:rFonts w:hint="eastAsia"/>
          <w:bCs/>
          <w:sz w:val="24"/>
          <w14:ligatures w14:val="standardContextual"/>
        </w:rPr>
        <w:t>为该笔份额的年化收益率，</w:t>
      </w:r>
      <w:r>
        <w:rPr>
          <w:bCs/>
          <w:sz w:val="24"/>
          <w14:ligatures w14:val="standardContextual"/>
        </w:rPr>
        <w:t>R</w:t>
      </w:r>
      <w:r>
        <w:rPr>
          <w:bCs/>
          <w:sz w:val="24"/>
          <w:vertAlign w:val="subscript"/>
          <w14:ligatures w14:val="standardContextual"/>
        </w:rPr>
        <w:t>b</w:t>
      </w:r>
      <w:r>
        <w:rPr>
          <w:rFonts w:hint="eastAsia"/>
          <w:bCs/>
          <w:sz w:val="24"/>
          <w14:ligatures w14:val="standardContextual"/>
        </w:rPr>
        <w:t>为本基金业绩比较基准同期年化收益率。</w:t>
      </w:r>
    </w:p>
    <w:p w14:paraId="639A3905" w14:textId="0015298A" w:rsidR="004E1659" w:rsidRDefault="00F42610">
      <w:pPr>
        <w:spacing w:line="360" w:lineRule="auto"/>
        <w:rPr>
          <w:bCs/>
          <w:sz w:val="24"/>
          <w14:ligatures w14:val="standardContextual"/>
        </w:rPr>
      </w:pPr>
      <w:r>
        <w:rPr>
          <w:rFonts w:hint="eastAsia"/>
          <w:bCs/>
          <w:sz w:val="24"/>
          <w14:ligatures w14:val="standardContextual"/>
        </w:rPr>
        <w:lastRenderedPageBreak/>
        <w:t>②特别的，当持有期限达到一年及以上，</w:t>
      </w:r>
      <w:r>
        <w:rPr>
          <w:bCs/>
          <w:sz w:val="24"/>
          <w14:ligatures w14:val="standardContextual"/>
        </w:rPr>
        <w:t>R</w:t>
      </w:r>
      <w:r>
        <w:rPr>
          <w:bCs/>
          <w:sz w:val="24"/>
          <w14:ligatures w14:val="standardContextual"/>
        </w:rPr>
        <w:t>＞</w:t>
      </w:r>
      <w:r>
        <w:rPr>
          <w:bCs/>
          <w:sz w:val="24"/>
          <w14:ligatures w14:val="standardContextual"/>
        </w:rPr>
        <w:t>R</w:t>
      </w:r>
      <w:r>
        <w:rPr>
          <w:bCs/>
          <w:sz w:val="24"/>
          <w:vertAlign w:val="subscript"/>
          <w14:ligatures w14:val="standardContextual"/>
        </w:rPr>
        <w:t>b</w:t>
      </w:r>
      <w:r>
        <w:rPr>
          <w:bCs/>
          <w:sz w:val="24"/>
          <w14:ligatures w14:val="standardContextual"/>
        </w:rPr>
        <w:t>+6%</w:t>
      </w:r>
      <w:r>
        <w:rPr>
          <w:rFonts w:hint="eastAsia"/>
          <w:bCs/>
          <w:sz w:val="24"/>
          <w14:ligatures w14:val="standardContextual"/>
        </w:rPr>
        <w:t>且</w:t>
      </w:r>
      <w:r>
        <w:rPr>
          <w:bCs/>
          <w:sz w:val="24"/>
          <w14:ligatures w14:val="standardContextual"/>
        </w:rPr>
        <w:t>R</w:t>
      </w:r>
      <w:r>
        <w:rPr>
          <w:bCs/>
          <w:sz w:val="24"/>
          <w14:ligatures w14:val="standardContextual"/>
        </w:rPr>
        <w:t>＞</w:t>
      </w:r>
      <w:r>
        <w:rPr>
          <w:bCs/>
          <w:sz w:val="24"/>
          <w14:ligatures w14:val="standardContextual"/>
        </w:rPr>
        <w:t>0</w:t>
      </w:r>
      <w:r>
        <w:rPr>
          <w:rFonts w:hint="eastAsia"/>
          <w:bCs/>
          <w:sz w:val="24"/>
          <w14:ligatures w14:val="standardContextual"/>
        </w:rPr>
        <w:t>的情形下，若拟扣除超额管理费后的年化收益率小于等于</w:t>
      </w:r>
      <w:r>
        <w:rPr>
          <w:bCs/>
          <w:sz w:val="24"/>
          <w14:ligatures w14:val="standardContextual"/>
        </w:rPr>
        <w:t>R</w:t>
      </w:r>
      <w:r>
        <w:rPr>
          <w:bCs/>
          <w:sz w:val="24"/>
          <w:vertAlign w:val="subscript"/>
          <w14:ligatures w14:val="standardContextual"/>
        </w:rPr>
        <w:t>b</w:t>
      </w:r>
      <w:r>
        <w:rPr>
          <w:bCs/>
          <w:sz w:val="24"/>
          <w14:ligatures w14:val="standardContextual"/>
        </w:rPr>
        <w:t>+6%</w:t>
      </w:r>
      <w:r>
        <w:rPr>
          <w:rFonts w:hint="eastAsia"/>
          <w:bCs/>
          <w:sz w:val="24"/>
          <w14:ligatures w14:val="standardContextual"/>
        </w:rPr>
        <w:t>，或小于等于</w:t>
      </w:r>
      <w:r>
        <w:rPr>
          <w:rFonts w:hint="eastAsia"/>
          <w:bCs/>
          <w:sz w:val="24"/>
          <w14:ligatures w14:val="standardContextual"/>
        </w:rPr>
        <w:t>0</w:t>
      </w:r>
      <w:r>
        <w:rPr>
          <w:rFonts w:hint="eastAsia"/>
          <w:bCs/>
          <w:sz w:val="24"/>
          <w14:ligatures w14:val="standardContextual"/>
        </w:rPr>
        <w:t>时，仍按</w:t>
      </w:r>
      <w:r>
        <w:rPr>
          <w:rFonts w:hint="eastAsia"/>
          <w:bCs/>
          <w:sz w:val="24"/>
          <w14:ligatures w14:val="standardContextual"/>
        </w:rPr>
        <w:t>1.20%</w:t>
      </w:r>
      <w:r>
        <w:rPr>
          <w:rFonts w:hint="eastAsia"/>
          <w:bCs/>
          <w:sz w:val="24"/>
          <w14:ligatures w14:val="standardContextual"/>
        </w:rPr>
        <w:t>年费率收取该笔基金份额的管理费，以使得该笔基金份额在扣除超额管理费后的年化收益率仍满足本基金收取超额管理费的标准。</w:t>
      </w:r>
    </w:p>
    <w:p w14:paraId="2E8A5B3F" w14:textId="77777777" w:rsidR="004E1659" w:rsidRDefault="00F42610">
      <w:pPr>
        <w:adjustRightInd w:val="0"/>
        <w:snapToGrid w:val="0"/>
        <w:spacing w:line="360" w:lineRule="auto"/>
        <w:ind w:firstLineChars="200" w:firstLine="480"/>
        <w:rPr>
          <w:rFonts w:ascii="宋体" w:hAnsi="宋体"/>
          <w:bCs/>
          <w:sz w:val="24"/>
          <w:szCs w:val="24"/>
        </w:rPr>
      </w:pPr>
      <w:r>
        <w:rPr>
          <w:rFonts w:hint="eastAsia"/>
          <w:bCs/>
          <w:sz w:val="24"/>
          <w14:ligatures w14:val="standardContextual"/>
        </w:rPr>
        <w:t>具体而言，本基金的管理费包含固定管理费、或有管理费和超额管理费，按以下方式计算和确认。</w:t>
      </w:r>
    </w:p>
    <w:p w14:paraId="0CDB3EFB" w14:textId="77777777" w:rsidR="004E1659" w:rsidRDefault="00F42610">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（1）固定管理费</w:t>
      </w:r>
    </w:p>
    <w:p w14:paraId="520BD469" w14:textId="77777777" w:rsidR="004E1659" w:rsidRDefault="00F42610">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固定</w:t>
      </w:r>
      <w:r>
        <w:rPr>
          <w:rFonts w:ascii="宋体" w:hAnsi="宋体"/>
          <w:bCs/>
          <w:sz w:val="24"/>
          <w:szCs w:val="24"/>
        </w:rPr>
        <w:t>管理费按前一日基金资产净值的</w:t>
      </w:r>
      <w:r>
        <w:rPr>
          <w:rFonts w:ascii="宋体" w:hAnsi="宋体" w:hint="eastAsia"/>
          <w:bCs/>
          <w:sz w:val="24"/>
          <w:szCs w:val="24"/>
        </w:rPr>
        <w:t>0.60%</w:t>
      </w:r>
      <w:r>
        <w:rPr>
          <w:rFonts w:ascii="宋体" w:hAnsi="宋体"/>
          <w:bCs/>
          <w:sz w:val="24"/>
          <w:szCs w:val="24"/>
        </w:rPr>
        <w:t>年费率每日计提。</w:t>
      </w:r>
      <w:r>
        <w:rPr>
          <w:rFonts w:ascii="宋体" w:hAnsi="宋体" w:hint="eastAsia"/>
          <w:bCs/>
          <w:sz w:val="24"/>
          <w:szCs w:val="24"/>
        </w:rPr>
        <w:t>固定</w:t>
      </w:r>
      <w:r>
        <w:rPr>
          <w:rFonts w:ascii="宋体" w:hAnsi="宋体"/>
          <w:bCs/>
          <w:sz w:val="24"/>
          <w:szCs w:val="24"/>
        </w:rPr>
        <w:t>管理费的计算方法如下：</w:t>
      </w:r>
    </w:p>
    <w:p w14:paraId="2AE0A6F3" w14:textId="77777777" w:rsidR="004E1659" w:rsidRDefault="00F42610">
      <w:pPr>
        <w:adjustRightInd w:val="0"/>
        <w:snapToGrid w:val="0"/>
        <w:spacing w:line="360" w:lineRule="auto"/>
        <w:ind w:firstLineChars="200" w:firstLine="480"/>
        <w:rPr>
          <w:rFonts w:ascii="宋体" w:hAnsi="宋体"/>
          <w:bCs/>
          <w:sz w:val="24"/>
          <w:szCs w:val="24"/>
        </w:rPr>
      </w:pPr>
      <w:r>
        <w:rPr>
          <w:rFonts w:ascii="宋体" w:hAnsi="宋体"/>
          <w:bCs/>
          <w:sz w:val="24"/>
          <w:szCs w:val="24"/>
        </w:rPr>
        <w:t>H</w:t>
      </w:r>
      <w:r>
        <w:rPr>
          <w:rFonts w:ascii="宋体" w:hAnsi="宋体" w:hint="eastAsia"/>
          <w:bCs/>
          <w:sz w:val="24"/>
          <w:szCs w:val="24"/>
          <w:vertAlign w:val="subscript"/>
        </w:rPr>
        <w:t>1</w:t>
      </w:r>
      <w:r>
        <w:rPr>
          <w:rFonts w:ascii="宋体" w:hAnsi="宋体"/>
          <w:bCs/>
          <w:sz w:val="24"/>
          <w:szCs w:val="24"/>
        </w:rPr>
        <w:t>＝E×</w:t>
      </w:r>
      <w:r>
        <w:rPr>
          <w:rFonts w:ascii="宋体" w:hAnsi="宋体" w:hint="eastAsia"/>
          <w:bCs/>
          <w:sz w:val="24"/>
          <w:szCs w:val="24"/>
        </w:rPr>
        <w:t>0.60%</w:t>
      </w:r>
      <w:r>
        <w:rPr>
          <w:rFonts w:ascii="宋体" w:hAnsi="宋体"/>
          <w:bCs/>
          <w:sz w:val="24"/>
          <w:szCs w:val="24"/>
        </w:rPr>
        <w:t>÷当年天数</w:t>
      </w:r>
    </w:p>
    <w:p w14:paraId="077173D9" w14:textId="77777777" w:rsidR="004E1659" w:rsidRDefault="00F42610">
      <w:pPr>
        <w:adjustRightInd w:val="0"/>
        <w:snapToGrid w:val="0"/>
        <w:spacing w:line="360" w:lineRule="auto"/>
        <w:ind w:firstLineChars="200" w:firstLine="480"/>
        <w:rPr>
          <w:rFonts w:ascii="宋体" w:hAnsi="宋体"/>
          <w:bCs/>
          <w:sz w:val="24"/>
          <w:szCs w:val="24"/>
        </w:rPr>
      </w:pPr>
      <w:r>
        <w:rPr>
          <w:rFonts w:ascii="宋体" w:hAnsi="宋体"/>
          <w:bCs/>
          <w:sz w:val="24"/>
          <w:szCs w:val="24"/>
        </w:rPr>
        <w:t>H</w:t>
      </w:r>
      <w:r>
        <w:rPr>
          <w:rFonts w:ascii="宋体" w:hAnsi="宋体" w:hint="eastAsia"/>
          <w:bCs/>
          <w:sz w:val="24"/>
          <w:szCs w:val="24"/>
          <w:vertAlign w:val="subscript"/>
        </w:rPr>
        <w:t>1</w:t>
      </w:r>
      <w:r>
        <w:rPr>
          <w:rFonts w:ascii="宋体" w:hAnsi="宋体"/>
          <w:bCs/>
          <w:sz w:val="24"/>
          <w:szCs w:val="24"/>
        </w:rPr>
        <w:t>为每日应计提的</w:t>
      </w:r>
      <w:r>
        <w:rPr>
          <w:rFonts w:ascii="宋体" w:hAnsi="宋体" w:hint="eastAsia"/>
          <w:bCs/>
          <w:sz w:val="24"/>
          <w:szCs w:val="24"/>
        </w:rPr>
        <w:t>固定</w:t>
      </w:r>
      <w:r>
        <w:rPr>
          <w:rFonts w:ascii="宋体" w:hAnsi="宋体"/>
          <w:bCs/>
          <w:sz w:val="24"/>
          <w:szCs w:val="24"/>
        </w:rPr>
        <w:t>管理费</w:t>
      </w:r>
    </w:p>
    <w:p w14:paraId="26760ED2" w14:textId="77777777" w:rsidR="004E1659" w:rsidRDefault="00F42610">
      <w:pPr>
        <w:adjustRightInd w:val="0"/>
        <w:snapToGrid w:val="0"/>
        <w:spacing w:line="360" w:lineRule="auto"/>
        <w:ind w:firstLineChars="200" w:firstLine="480"/>
        <w:rPr>
          <w:rFonts w:ascii="宋体" w:hAnsi="宋体"/>
          <w:bCs/>
          <w:sz w:val="24"/>
          <w:szCs w:val="24"/>
        </w:rPr>
      </w:pPr>
      <w:r>
        <w:rPr>
          <w:rFonts w:ascii="宋体" w:hAnsi="宋体"/>
          <w:bCs/>
          <w:sz w:val="24"/>
          <w:szCs w:val="24"/>
        </w:rPr>
        <w:t>E为前一日的基金资产净值</w:t>
      </w:r>
    </w:p>
    <w:p w14:paraId="1A23509A" w14:textId="77777777" w:rsidR="004E1659" w:rsidRDefault="00F42610">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（2）或有管理费和超额管理费</w:t>
      </w:r>
    </w:p>
    <w:p w14:paraId="57D7F444" w14:textId="77777777" w:rsidR="004E1659" w:rsidRDefault="00F42610">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或有</w:t>
      </w:r>
      <w:r>
        <w:rPr>
          <w:rFonts w:ascii="宋体" w:hAnsi="宋体"/>
          <w:bCs/>
          <w:sz w:val="24"/>
          <w:szCs w:val="24"/>
        </w:rPr>
        <w:t>管理费按前一日基金资产净值的</w:t>
      </w:r>
      <w:r>
        <w:rPr>
          <w:rFonts w:ascii="宋体" w:hAnsi="宋体" w:hint="eastAsia"/>
          <w:bCs/>
          <w:sz w:val="24"/>
          <w:szCs w:val="24"/>
        </w:rPr>
        <w:t>0.60%</w:t>
      </w:r>
      <w:r>
        <w:rPr>
          <w:rFonts w:ascii="宋体" w:hAnsi="宋体"/>
          <w:bCs/>
          <w:sz w:val="24"/>
          <w:szCs w:val="24"/>
        </w:rPr>
        <w:t>年费率每日计提。</w:t>
      </w:r>
      <w:r>
        <w:rPr>
          <w:rFonts w:ascii="宋体" w:hAnsi="宋体" w:hint="eastAsia"/>
          <w:bCs/>
          <w:sz w:val="24"/>
          <w:szCs w:val="24"/>
        </w:rPr>
        <w:t>或有</w:t>
      </w:r>
      <w:r>
        <w:rPr>
          <w:rFonts w:ascii="宋体" w:hAnsi="宋体"/>
          <w:bCs/>
          <w:sz w:val="24"/>
          <w:szCs w:val="24"/>
        </w:rPr>
        <w:t>管理费的计算方法如下：</w:t>
      </w:r>
    </w:p>
    <w:p w14:paraId="12C2CA1E" w14:textId="77777777" w:rsidR="004E1659" w:rsidRDefault="00F42610">
      <w:pPr>
        <w:adjustRightInd w:val="0"/>
        <w:snapToGrid w:val="0"/>
        <w:spacing w:line="360" w:lineRule="auto"/>
        <w:ind w:firstLineChars="200" w:firstLine="480"/>
        <w:rPr>
          <w:rFonts w:ascii="宋体" w:hAnsi="宋体"/>
          <w:bCs/>
          <w:sz w:val="24"/>
          <w:szCs w:val="24"/>
        </w:rPr>
      </w:pPr>
      <w:r>
        <w:rPr>
          <w:rFonts w:ascii="宋体" w:hAnsi="宋体"/>
          <w:bCs/>
          <w:sz w:val="24"/>
          <w:szCs w:val="24"/>
        </w:rPr>
        <w:t>H</w:t>
      </w:r>
      <w:r>
        <w:rPr>
          <w:rFonts w:ascii="宋体" w:hAnsi="宋体" w:hint="eastAsia"/>
          <w:bCs/>
          <w:sz w:val="24"/>
          <w:szCs w:val="24"/>
          <w:vertAlign w:val="subscript"/>
        </w:rPr>
        <w:t>2</w:t>
      </w:r>
      <w:r>
        <w:rPr>
          <w:rFonts w:ascii="宋体" w:hAnsi="宋体"/>
          <w:bCs/>
          <w:sz w:val="24"/>
          <w:szCs w:val="24"/>
        </w:rPr>
        <w:t>＝E×</w:t>
      </w:r>
      <w:r>
        <w:rPr>
          <w:rFonts w:ascii="宋体" w:hAnsi="宋体" w:hint="eastAsia"/>
          <w:bCs/>
          <w:sz w:val="24"/>
          <w:szCs w:val="24"/>
        </w:rPr>
        <w:t>0.60%</w:t>
      </w:r>
      <w:r>
        <w:rPr>
          <w:rFonts w:ascii="宋体" w:hAnsi="宋体"/>
          <w:bCs/>
          <w:sz w:val="24"/>
          <w:szCs w:val="24"/>
        </w:rPr>
        <w:t>÷当年天数</w:t>
      </w:r>
    </w:p>
    <w:p w14:paraId="55D0AC93" w14:textId="77777777" w:rsidR="004E1659" w:rsidRDefault="00F42610">
      <w:pPr>
        <w:adjustRightInd w:val="0"/>
        <w:snapToGrid w:val="0"/>
        <w:spacing w:line="360" w:lineRule="auto"/>
        <w:ind w:firstLineChars="200" w:firstLine="480"/>
        <w:rPr>
          <w:rFonts w:ascii="宋体" w:hAnsi="宋体"/>
          <w:bCs/>
          <w:sz w:val="24"/>
          <w:szCs w:val="24"/>
        </w:rPr>
      </w:pPr>
      <w:r>
        <w:rPr>
          <w:rFonts w:ascii="宋体" w:hAnsi="宋体"/>
          <w:bCs/>
          <w:sz w:val="24"/>
          <w:szCs w:val="24"/>
        </w:rPr>
        <w:t>H</w:t>
      </w:r>
      <w:r>
        <w:rPr>
          <w:rFonts w:ascii="宋体" w:hAnsi="宋体" w:hint="eastAsia"/>
          <w:bCs/>
          <w:sz w:val="24"/>
          <w:szCs w:val="24"/>
          <w:vertAlign w:val="subscript"/>
        </w:rPr>
        <w:t>2</w:t>
      </w:r>
      <w:r>
        <w:rPr>
          <w:rFonts w:ascii="宋体" w:hAnsi="宋体"/>
          <w:bCs/>
          <w:sz w:val="24"/>
          <w:szCs w:val="24"/>
        </w:rPr>
        <w:t>为每日应计提的</w:t>
      </w:r>
      <w:r>
        <w:rPr>
          <w:rFonts w:ascii="宋体" w:hAnsi="宋体" w:hint="eastAsia"/>
          <w:bCs/>
          <w:sz w:val="24"/>
          <w:szCs w:val="24"/>
        </w:rPr>
        <w:t>或有</w:t>
      </w:r>
      <w:r>
        <w:rPr>
          <w:rFonts w:ascii="宋体" w:hAnsi="宋体"/>
          <w:bCs/>
          <w:sz w:val="24"/>
          <w:szCs w:val="24"/>
        </w:rPr>
        <w:t>管理费</w:t>
      </w:r>
    </w:p>
    <w:p w14:paraId="41796EC6" w14:textId="77777777" w:rsidR="004E1659" w:rsidRDefault="00F42610">
      <w:pPr>
        <w:adjustRightInd w:val="0"/>
        <w:snapToGrid w:val="0"/>
        <w:spacing w:line="360" w:lineRule="auto"/>
        <w:ind w:firstLineChars="200" w:firstLine="480"/>
        <w:rPr>
          <w:bCs/>
          <w:sz w:val="24"/>
        </w:rPr>
      </w:pPr>
      <w:r>
        <w:rPr>
          <w:rFonts w:ascii="宋体" w:hAnsi="宋体"/>
          <w:bCs/>
          <w:sz w:val="24"/>
          <w:szCs w:val="24"/>
        </w:rPr>
        <w:t>E为前一日的基金资产净值</w:t>
      </w:r>
    </w:p>
    <w:p w14:paraId="6A9B86EE" w14:textId="77777777" w:rsidR="004E1659" w:rsidRDefault="00F42610">
      <w:pPr>
        <w:spacing w:line="360" w:lineRule="auto"/>
        <w:ind w:firstLineChars="200" w:firstLine="480"/>
        <w:rPr>
          <w:bCs/>
          <w:sz w:val="24"/>
          <w14:ligatures w14:val="standardContextual"/>
        </w:rPr>
      </w:pPr>
      <w:r>
        <w:rPr>
          <w:rFonts w:hint="eastAsia"/>
          <w:bCs/>
          <w:sz w:val="24"/>
          <w14:ligatures w14:val="standardContextual"/>
        </w:rPr>
        <w:t>投资者赎回、转出基金份额或基金合同终止的情形发生时，若该笔基金份额持有天数达到或超过</w:t>
      </w:r>
      <w:r>
        <w:rPr>
          <w:rFonts w:hint="eastAsia"/>
          <w:bCs/>
          <w:sz w:val="24"/>
          <w14:ligatures w14:val="standardContextual"/>
        </w:rPr>
        <w:t>365</w:t>
      </w:r>
      <w:r>
        <w:rPr>
          <w:rFonts w:hint="eastAsia"/>
          <w:bCs/>
          <w:sz w:val="24"/>
          <w14:ligatures w14:val="standardContextual"/>
        </w:rPr>
        <w:t>天，且该笔基金份额的持有收益率</w:t>
      </w:r>
      <w:r>
        <w:rPr>
          <w:rFonts w:hint="eastAsia"/>
          <w:bCs/>
          <w:sz w:val="24"/>
          <w14:ligatures w14:val="standardContextual"/>
        </w:rPr>
        <w:t>R</w:t>
      </w:r>
      <w:r>
        <w:rPr>
          <w:rFonts w:hint="eastAsia"/>
          <w:bCs/>
          <w:sz w:val="24"/>
          <w14:ligatures w14:val="standardContextual"/>
        </w:rPr>
        <w:t>符合下表“情形一”的收取情形时，或有管理费为</w:t>
      </w:r>
      <w:r>
        <w:rPr>
          <w:rFonts w:hint="eastAsia"/>
          <w:bCs/>
          <w:sz w:val="24"/>
          <w14:ligatures w14:val="standardContextual"/>
        </w:rPr>
        <w:t>0</w:t>
      </w:r>
      <w:r>
        <w:rPr>
          <w:rFonts w:hint="eastAsia"/>
          <w:bCs/>
          <w:sz w:val="24"/>
          <w14:ligatures w14:val="standardContextual"/>
        </w:rPr>
        <w:t>，则该笔基金份额持有期内计提的或有管理费将全额返还至投资者的赎回款（或清算款）；在其他情形下，该笔基金份额持有期内计提的或有管理费应确认为应由基金管理人收取的管理费。</w:t>
      </w:r>
    </w:p>
    <w:p w14:paraId="6B9452F7" w14:textId="77777777" w:rsidR="004E1659" w:rsidRDefault="00F42610">
      <w:pPr>
        <w:spacing w:line="360" w:lineRule="auto"/>
        <w:ind w:firstLineChars="200" w:firstLine="480"/>
        <w:rPr>
          <w:bCs/>
          <w:sz w:val="24"/>
          <w14:ligatures w14:val="standardContextual"/>
        </w:rPr>
      </w:pPr>
      <w:r>
        <w:rPr>
          <w:rFonts w:hint="eastAsia"/>
          <w:bCs/>
          <w:sz w:val="24"/>
          <w14:ligatures w14:val="standardContextual"/>
        </w:rPr>
        <w:t>本基金每日预估计算并记录每笔基金份额的超额管理费，基金超额管理费的预估计算方法如下：</w:t>
      </w:r>
    </w:p>
    <w:p w14:paraId="343FCD42" w14:textId="77777777" w:rsidR="004E1659" w:rsidRDefault="00F42610">
      <w:pPr>
        <w:spacing w:line="360" w:lineRule="auto"/>
        <w:ind w:firstLineChars="200" w:firstLine="480"/>
        <w:rPr>
          <w:bCs/>
          <w:sz w:val="24"/>
          <w14:ligatures w14:val="standardContextual"/>
        </w:rPr>
      </w:pPr>
      <w:r>
        <w:rPr>
          <w:rFonts w:hint="eastAsia"/>
          <w:bCs/>
          <w:sz w:val="24"/>
          <w14:ligatures w14:val="standardContextual"/>
        </w:rPr>
        <w:t>H</w:t>
      </w:r>
      <w:r>
        <w:rPr>
          <w:rFonts w:hint="eastAsia"/>
          <w:bCs/>
          <w:sz w:val="24"/>
          <w:vertAlign w:val="subscript"/>
          <w14:ligatures w14:val="standardContextual"/>
        </w:rPr>
        <w:t>3</w:t>
      </w:r>
      <w:r>
        <w:rPr>
          <w:rFonts w:hint="eastAsia"/>
          <w:bCs/>
          <w:sz w:val="24"/>
          <w14:ligatures w14:val="standardContextual"/>
        </w:rPr>
        <w:t>＝</w:t>
      </w:r>
      <w:r>
        <w:rPr>
          <w:rFonts w:hint="eastAsia"/>
          <w:bCs/>
          <w:sz w:val="24"/>
          <w14:ligatures w14:val="standardContextual"/>
        </w:rPr>
        <w:t>E</w:t>
      </w:r>
      <w:r>
        <w:rPr>
          <w:rFonts w:hint="eastAsia"/>
          <w:bCs/>
          <w:sz w:val="24"/>
          <w14:ligatures w14:val="standardContextual"/>
        </w:rPr>
        <w:t>×</w:t>
      </w:r>
      <w:r>
        <w:rPr>
          <w:rFonts w:hint="eastAsia"/>
          <w:bCs/>
          <w:sz w:val="24"/>
          <w14:ligatures w14:val="standardContextual"/>
        </w:rPr>
        <w:t>0.30%</w:t>
      </w:r>
      <w:r>
        <w:rPr>
          <w:rFonts w:hint="eastAsia"/>
          <w:bCs/>
          <w:sz w:val="24"/>
          <w14:ligatures w14:val="standardContextual"/>
        </w:rPr>
        <w:t>÷当年天数</w:t>
      </w:r>
    </w:p>
    <w:p w14:paraId="0EB23CD0" w14:textId="77777777" w:rsidR="004E1659" w:rsidRDefault="00F42610">
      <w:pPr>
        <w:spacing w:line="360" w:lineRule="auto"/>
        <w:ind w:firstLineChars="200" w:firstLine="480"/>
        <w:rPr>
          <w:bCs/>
          <w:sz w:val="24"/>
          <w14:ligatures w14:val="standardContextual"/>
        </w:rPr>
      </w:pPr>
      <w:r>
        <w:rPr>
          <w:rFonts w:hint="eastAsia"/>
          <w:bCs/>
          <w:sz w:val="24"/>
          <w14:ligatures w14:val="standardContextual"/>
        </w:rPr>
        <w:t>H</w:t>
      </w:r>
      <w:r>
        <w:rPr>
          <w:rFonts w:hint="eastAsia"/>
          <w:bCs/>
          <w:sz w:val="24"/>
          <w:vertAlign w:val="subscript"/>
          <w14:ligatures w14:val="standardContextual"/>
        </w:rPr>
        <w:t>3</w:t>
      </w:r>
      <w:r>
        <w:rPr>
          <w:rFonts w:hint="eastAsia"/>
          <w:bCs/>
          <w:sz w:val="24"/>
          <w14:ligatures w14:val="standardContextual"/>
        </w:rPr>
        <w:t>为每日预估计算的基金超额管理费</w:t>
      </w:r>
    </w:p>
    <w:p w14:paraId="66D3B740" w14:textId="77777777" w:rsidR="004E1659" w:rsidRDefault="00F42610">
      <w:pPr>
        <w:spacing w:line="360" w:lineRule="auto"/>
        <w:ind w:firstLineChars="200" w:firstLine="480"/>
        <w:rPr>
          <w:bCs/>
          <w:sz w:val="24"/>
          <w14:ligatures w14:val="standardContextual"/>
        </w:rPr>
      </w:pPr>
      <w:r>
        <w:rPr>
          <w:rFonts w:hint="eastAsia"/>
          <w:bCs/>
          <w:sz w:val="24"/>
          <w14:ligatures w14:val="standardContextual"/>
        </w:rPr>
        <w:t>E</w:t>
      </w:r>
      <w:r>
        <w:rPr>
          <w:rFonts w:hint="eastAsia"/>
          <w:bCs/>
          <w:sz w:val="24"/>
          <w14:ligatures w14:val="standardContextual"/>
        </w:rPr>
        <w:t>为前一日的基金资产净值</w:t>
      </w:r>
    </w:p>
    <w:p w14:paraId="6329FB39" w14:textId="77777777" w:rsidR="004E1659" w:rsidRDefault="00F42610">
      <w:pPr>
        <w:adjustRightInd w:val="0"/>
        <w:snapToGrid w:val="0"/>
        <w:spacing w:line="360" w:lineRule="auto"/>
        <w:ind w:left="60" w:firstLine="420"/>
        <w:rPr>
          <w:bCs/>
          <w:sz w:val="24"/>
          <w14:ligatures w14:val="standardContextual"/>
        </w:rPr>
      </w:pPr>
      <w:r>
        <w:rPr>
          <w:rFonts w:hint="eastAsia"/>
          <w:bCs/>
          <w:sz w:val="24"/>
          <w14:ligatures w14:val="standardContextual"/>
        </w:rPr>
        <w:t>每笔基金份额的超额管理费每日预估计算，但不从基金资产中实际计提，逐日累计。投资者赎回、转出基金份额或基金合同终止的情形发生时，当且仅当该</w:t>
      </w:r>
      <w:r>
        <w:rPr>
          <w:rFonts w:hint="eastAsia"/>
          <w:bCs/>
          <w:sz w:val="24"/>
          <w14:ligatures w14:val="standardContextual"/>
        </w:rPr>
        <w:lastRenderedPageBreak/>
        <w:t>笔基金份额持有天数达到或超过</w:t>
      </w:r>
      <w:r>
        <w:rPr>
          <w:rFonts w:hint="eastAsia"/>
          <w:bCs/>
          <w:sz w:val="24"/>
          <w14:ligatures w14:val="standardContextual"/>
        </w:rPr>
        <w:t>365</w:t>
      </w:r>
      <w:r>
        <w:rPr>
          <w:rFonts w:hint="eastAsia"/>
          <w:bCs/>
          <w:sz w:val="24"/>
          <w14:ligatures w14:val="standardContextual"/>
        </w:rPr>
        <w:t>天，且该笔基金份额的年化收益率（</w:t>
      </w:r>
      <w:r>
        <w:rPr>
          <w:rFonts w:hint="eastAsia"/>
          <w:bCs/>
          <w:sz w:val="24"/>
          <w14:ligatures w14:val="standardContextual"/>
        </w:rPr>
        <w:t>R</w:t>
      </w:r>
      <w:r>
        <w:rPr>
          <w:rFonts w:hint="eastAsia"/>
          <w:bCs/>
          <w:sz w:val="24"/>
          <w14:ligatures w14:val="standardContextual"/>
        </w:rPr>
        <w:t>）符合下表“情形三”的收取情形时，将从该笔基金份额的赎回款（或清算款）中扣除</w:t>
      </w:r>
      <w:r>
        <w:rPr>
          <w:rFonts w:hint="eastAsia"/>
          <w:bCs/>
          <w:sz w:val="24"/>
          <w14:ligatures w14:val="standardContextual"/>
        </w:rPr>
        <w:t>0.30%</w:t>
      </w:r>
      <w:r>
        <w:rPr>
          <w:rFonts w:hint="eastAsia"/>
          <w:bCs/>
          <w:sz w:val="24"/>
          <w14:ligatures w14:val="standardContextual"/>
        </w:rPr>
        <w:t>年费率的超额管理费，并随已计提的或有管理费一同确认为应由基金管理人收取的管理费。</w:t>
      </w:r>
    </w:p>
    <w:p w14:paraId="5C97A5E7" w14:textId="46E74722" w:rsidR="004E1659" w:rsidRDefault="00F42610">
      <w:pPr>
        <w:spacing w:line="360" w:lineRule="auto"/>
        <w:ind w:firstLineChars="200" w:firstLine="480"/>
        <w:rPr>
          <w:bCs/>
          <w:sz w:val="24"/>
          <w14:ligatures w14:val="standardContextual"/>
        </w:rPr>
      </w:pPr>
      <w:r>
        <w:rPr>
          <w:rFonts w:hint="eastAsia"/>
          <w:bCs/>
          <w:sz w:val="24"/>
          <w14:ligatures w14:val="standardContextual"/>
        </w:rPr>
        <w:t>当基金份额持有天数达到或超过</w:t>
      </w:r>
      <w:r>
        <w:rPr>
          <w:rFonts w:hint="eastAsia"/>
          <w:bCs/>
          <w:sz w:val="24"/>
          <w14:ligatures w14:val="standardContextual"/>
        </w:rPr>
        <w:t>365</w:t>
      </w:r>
      <w:r>
        <w:rPr>
          <w:rFonts w:hint="eastAsia"/>
          <w:bCs/>
          <w:sz w:val="24"/>
          <w14:ligatures w14:val="standardContextual"/>
        </w:rPr>
        <w:t>天，投资者赎回、转出基金份额或基金合同终止的情形发生时，本基金根据以下三种情形确认应实际收取的或有管理费和超额管理费：</w:t>
      </w:r>
    </w:p>
    <w:tbl>
      <w:tblPr>
        <w:tblStyle w:val="13"/>
        <w:tblW w:w="7582" w:type="dxa"/>
        <w:jc w:val="center"/>
        <w:tblLook w:val="04A0" w:firstRow="1" w:lastRow="0" w:firstColumn="1" w:lastColumn="0" w:noHBand="0" w:noVBand="1"/>
      </w:tblPr>
      <w:tblGrid>
        <w:gridCol w:w="1247"/>
        <w:gridCol w:w="2933"/>
        <w:gridCol w:w="1701"/>
        <w:gridCol w:w="1701"/>
      </w:tblGrid>
      <w:tr w:rsidR="004E1659" w14:paraId="40E7FA0D" w14:textId="77777777">
        <w:trPr>
          <w:trHeight w:val="510"/>
          <w:jc w:val="center"/>
        </w:trPr>
        <w:tc>
          <w:tcPr>
            <w:tcW w:w="1247" w:type="dxa"/>
            <w:vAlign w:val="center"/>
          </w:tcPr>
          <w:p w14:paraId="40C473D9" w14:textId="77777777" w:rsidR="004E1659" w:rsidRDefault="00F42610">
            <w:pPr>
              <w:jc w:val="center"/>
              <w:rPr>
                <w:rFonts w:ascii="宋体" w:hAnsi="宋体"/>
                <w:b/>
                <w:bCs/>
                <w:kern w:val="0"/>
                <w:sz w:val="22"/>
              </w:rPr>
            </w:pPr>
            <w:bookmarkStart w:id="111" w:name="_Hlk195865040"/>
            <w:r>
              <w:rPr>
                <w:rFonts w:ascii="宋体" w:hAnsi="宋体" w:hint="eastAsia"/>
                <w:b/>
                <w:bCs/>
                <w:kern w:val="0"/>
                <w:sz w:val="22"/>
              </w:rPr>
              <w:t>收取情形</w:t>
            </w:r>
          </w:p>
        </w:tc>
        <w:tc>
          <w:tcPr>
            <w:tcW w:w="2933" w:type="dxa"/>
            <w:vAlign w:val="center"/>
          </w:tcPr>
          <w:p w14:paraId="4B9D1902" w14:textId="77777777" w:rsidR="004E1659" w:rsidRDefault="00F42610">
            <w:pPr>
              <w:jc w:val="center"/>
              <w:rPr>
                <w:rFonts w:ascii="宋体" w:hAnsi="宋体"/>
                <w:b/>
                <w:bCs/>
                <w:kern w:val="0"/>
                <w:sz w:val="22"/>
              </w:rPr>
            </w:pPr>
            <w:r>
              <w:rPr>
                <w:rFonts w:ascii="宋体" w:hAnsi="宋体" w:hint="eastAsia"/>
                <w:b/>
                <w:bCs/>
                <w:kern w:val="0"/>
                <w:sz w:val="22"/>
              </w:rPr>
              <w:t>年化收益率（</w:t>
            </w:r>
            <w:r>
              <w:rPr>
                <w:rFonts w:ascii="宋体" w:hAnsi="宋体"/>
                <w:b/>
                <w:bCs/>
                <w:kern w:val="0"/>
                <w:sz w:val="22"/>
              </w:rPr>
              <w:t>R</w:t>
            </w:r>
            <w:r>
              <w:rPr>
                <w:rFonts w:ascii="宋体" w:hAnsi="宋体" w:hint="eastAsia"/>
                <w:b/>
                <w:bCs/>
                <w:kern w:val="0"/>
                <w:sz w:val="22"/>
              </w:rPr>
              <w:t>）</w:t>
            </w:r>
          </w:p>
        </w:tc>
        <w:tc>
          <w:tcPr>
            <w:tcW w:w="1701" w:type="dxa"/>
            <w:vAlign w:val="center"/>
          </w:tcPr>
          <w:p w14:paraId="64D53F03" w14:textId="77777777" w:rsidR="004E1659" w:rsidRDefault="00F42610">
            <w:pPr>
              <w:jc w:val="center"/>
              <w:rPr>
                <w:rFonts w:ascii="宋体" w:hAnsi="宋体"/>
                <w:b/>
                <w:bCs/>
                <w:kern w:val="0"/>
                <w:sz w:val="22"/>
              </w:rPr>
            </w:pPr>
            <w:r>
              <w:rPr>
                <w:rFonts w:ascii="宋体" w:hAnsi="宋体" w:hint="eastAsia"/>
                <w:b/>
                <w:bCs/>
                <w:kern w:val="0"/>
                <w:sz w:val="22"/>
              </w:rPr>
              <w:t>或有管理费</w:t>
            </w:r>
          </w:p>
          <w:p w14:paraId="63DF3566" w14:textId="77777777" w:rsidR="004E1659" w:rsidRDefault="00F42610">
            <w:pPr>
              <w:jc w:val="center"/>
              <w:rPr>
                <w:rFonts w:ascii="宋体" w:hAnsi="宋体"/>
                <w:b/>
                <w:bCs/>
                <w:kern w:val="0"/>
                <w:sz w:val="22"/>
              </w:rPr>
            </w:pPr>
            <w:r>
              <w:rPr>
                <w:rFonts w:ascii="宋体" w:hAnsi="宋体" w:hint="eastAsia"/>
                <w:b/>
                <w:bCs/>
                <w:kern w:val="0"/>
                <w:sz w:val="22"/>
              </w:rPr>
              <w:t>（年费率）</w:t>
            </w:r>
          </w:p>
        </w:tc>
        <w:tc>
          <w:tcPr>
            <w:tcW w:w="1701" w:type="dxa"/>
            <w:vAlign w:val="center"/>
          </w:tcPr>
          <w:p w14:paraId="051065B2" w14:textId="77777777" w:rsidR="004E1659" w:rsidRDefault="00F42610">
            <w:pPr>
              <w:jc w:val="center"/>
              <w:rPr>
                <w:rFonts w:ascii="宋体" w:hAnsi="宋体"/>
                <w:b/>
                <w:bCs/>
                <w:kern w:val="0"/>
                <w:sz w:val="22"/>
              </w:rPr>
            </w:pPr>
            <w:r>
              <w:rPr>
                <w:rFonts w:ascii="宋体" w:hAnsi="宋体" w:hint="eastAsia"/>
                <w:b/>
                <w:bCs/>
                <w:kern w:val="0"/>
                <w:sz w:val="22"/>
              </w:rPr>
              <w:t>超额管理费</w:t>
            </w:r>
          </w:p>
          <w:p w14:paraId="611A16C2" w14:textId="77777777" w:rsidR="004E1659" w:rsidRDefault="00F42610">
            <w:pPr>
              <w:jc w:val="center"/>
              <w:rPr>
                <w:rFonts w:ascii="宋体" w:hAnsi="宋体"/>
                <w:b/>
                <w:bCs/>
                <w:kern w:val="0"/>
                <w:sz w:val="22"/>
              </w:rPr>
            </w:pPr>
            <w:r>
              <w:rPr>
                <w:rFonts w:ascii="宋体" w:hAnsi="宋体" w:hint="eastAsia"/>
                <w:b/>
                <w:bCs/>
                <w:kern w:val="0"/>
                <w:sz w:val="22"/>
              </w:rPr>
              <w:t>（年费率）</w:t>
            </w:r>
          </w:p>
        </w:tc>
      </w:tr>
      <w:tr w:rsidR="004E1659" w14:paraId="7C14406B" w14:textId="77777777">
        <w:trPr>
          <w:trHeight w:val="510"/>
          <w:jc w:val="center"/>
        </w:trPr>
        <w:tc>
          <w:tcPr>
            <w:tcW w:w="1247" w:type="dxa"/>
            <w:vAlign w:val="center"/>
          </w:tcPr>
          <w:p w14:paraId="1E709BF1" w14:textId="77777777" w:rsidR="004E1659" w:rsidRDefault="00F42610">
            <w:pPr>
              <w:jc w:val="center"/>
              <w:rPr>
                <w:rFonts w:ascii="宋体" w:hAnsi="宋体"/>
                <w:kern w:val="0"/>
                <w:sz w:val="22"/>
              </w:rPr>
            </w:pPr>
            <w:r>
              <w:rPr>
                <w:rFonts w:ascii="宋体" w:hAnsi="宋体" w:hint="eastAsia"/>
                <w:bCs/>
                <w:kern w:val="0"/>
                <w:sz w:val="22"/>
              </w:rPr>
              <w:t>情形</w:t>
            </w:r>
            <w:r>
              <w:rPr>
                <w:rFonts w:ascii="宋体" w:hAnsi="宋体" w:hint="eastAsia"/>
                <w:kern w:val="0"/>
                <w:sz w:val="22"/>
              </w:rPr>
              <w:t>一</w:t>
            </w:r>
          </w:p>
        </w:tc>
        <w:tc>
          <w:tcPr>
            <w:tcW w:w="2933" w:type="dxa"/>
            <w:vAlign w:val="center"/>
          </w:tcPr>
          <w:p w14:paraId="611B3082" w14:textId="77777777" w:rsidR="004E1659" w:rsidRDefault="00F42610">
            <w:pPr>
              <w:jc w:val="center"/>
              <w:rPr>
                <w:rFonts w:ascii="仿宋" w:eastAsia="仿宋" w:hAnsi="仿宋"/>
                <w:i/>
                <w:kern w:val="0"/>
                <w:sz w:val="22"/>
              </w:rPr>
            </w:pPr>
            <w:r>
              <w:rPr>
                <w:rFonts w:ascii="Cambria Math" w:eastAsia="仿宋" w:hAnsi="Cambria Math"/>
                <w:kern w:val="0"/>
                <w:sz w:val="22"/>
              </w:rPr>
              <w:t>R</w:t>
            </w:r>
            <w:r>
              <w:rPr>
                <w:rFonts w:ascii="仿宋" w:eastAsia="仿宋" w:hAnsi="仿宋" w:hint="eastAsia"/>
                <w:kern w:val="0"/>
                <w:sz w:val="22"/>
              </w:rPr>
              <w:t>≤</w:t>
            </w:r>
            <w:r>
              <w:rPr>
                <w:rFonts w:ascii="Cambria Math" w:eastAsia="仿宋" w:hAnsi="Cambria Math"/>
                <w:kern w:val="0"/>
                <w:sz w:val="22"/>
              </w:rPr>
              <w:t>R</w:t>
            </w:r>
            <w:r>
              <w:rPr>
                <w:rFonts w:ascii="Cambria Math" w:eastAsia="仿宋" w:hAnsi="Cambria Math"/>
                <w:kern w:val="0"/>
                <w:sz w:val="22"/>
                <w:vertAlign w:val="subscript"/>
              </w:rPr>
              <w:t>b</w:t>
            </w:r>
            <w:r>
              <w:rPr>
                <w:rFonts w:ascii="Cambria Math" w:eastAsia="仿宋" w:hAnsi="Cambria Math" w:hint="eastAsia"/>
                <w:kern w:val="0"/>
                <w:sz w:val="22"/>
              </w:rPr>
              <w:t>-3%</w:t>
            </w:r>
          </w:p>
        </w:tc>
        <w:tc>
          <w:tcPr>
            <w:tcW w:w="1701" w:type="dxa"/>
            <w:vAlign w:val="center"/>
          </w:tcPr>
          <w:p w14:paraId="6B20E1C3" w14:textId="77777777" w:rsidR="004E1659" w:rsidRDefault="00F42610">
            <w:pPr>
              <w:jc w:val="center"/>
              <w:rPr>
                <w:rFonts w:ascii="Cambria" w:eastAsia="仿宋" w:hAnsi="Cambria"/>
                <w:kern w:val="0"/>
                <w:sz w:val="22"/>
              </w:rPr>
            </w:pPr>
            <w:r>
              <w:rPr>
                <w:rFonts w:ascii="Cambria" w:eastAsia="仿宋" w:hAnsi="Cambria" w:hint="eastAsia"/>
                <w:kern w:val="0"/>
                <w:sz w:val="22"/>
              </w:rPr>
              <w:t>0</w:t>
            </w:r>
          </w:p>
        </w:tc>
        <w:tc>
          <w:tcPr>
            <w:tcW w:w="1701" w:type="dxa"/>
            <w:vAlign w:val="center"/>
          </w:tcPr>
          <w:p w14:paraId="6781DD50" w14:textId="77777777" w:rsidR="004E1659" w:rsidRDefault="00F42610">
            <w:pPr>
              <w:jc w:val="center"/>
              <w:rPr>
                <w:rFonts w:ascii="Cambria" w:eastAsia="仿宋" w:hAnsi="Cambria"/>
                <w:kern w:val="0"/>
                <w:sz w:val="22"/>
              </w:rPr>
            </w:pPr>
            <w:r>
              <w:rPr>
                <w:rFonts w:ascii="Cambria" w:eastAsia="仿宋" w:hAnsi="Cambria" w:hint="eastAsia"/>
                <w:kern w:val="0"/>
                <w:sz w:val="22"/>
              </w:rPr>
              <w:t>0</w:t>
            </w:r>
          </w:p>
        </w:tc>
      </w:tr>
      <w:tr w:rsidR="004E1659" w14:paraId="16CA8F42" w14:textId="77777777">
        <w:trPr>
          <w:trHeight w:val="510"/>
          <w:jc w:val="center"/>
        </w:trPr>
        <w:tc>
          <w:tcPr>
            <w:tcW w:w="1247" w:type="dxa"/>
            <w:vAlign w:val="center"/>
          </w:tcPr>
          <w:p w14:paraId="2FF83A77" w14:textId="77777777" w:rsidR="004E1659" w:rsidRDefault="00F42610">
            <w:pPr>
              <w:jc w:val="center"/>
              <w:rPr>
                <w:rFonts w:ascii="宋体" w:hAnsi="宋体"/>
                <w:kern w:val="0"/>
                <w:sz w:val="22"/>
              </w:rPr>
            </w:pPr>
            <w:r>
              <w:rPr>
                <w:rFonts w:ascii="宋体" w:hAnsi="宋体" w:hint="eastAsia"/>
                <w:bCs/>
                <w:kern w:val="0"/>
                <w:sz w:val="22"/>
              </w:rPr>
              <w:t>情形</w:t>
            </w:r>
            <w:r>
              <w:rPr>
                <w:rFonts w:ascii="宋体" w:hAnsi="宋体" w:hint="eastAsia"/>
                <w:kern w:val="0"/>
                <w:sz w:val="22"/>
              </w:rPr>
              <w:t>二</w:t>
            </w:r>
          </w:p>
        </w:tc>
        <w:tc>
          <w:tcPr>
            <w:tcW w:w="2933" w:type="dxa"/>
            <w:vAlign w:val="center"/>
          </w:tcPr>
          <w:p w14:paraId="60E7A8CB" w14:textId="77777777" w:rsidR="004E1659" w:rsidRDefault="00F42610">
            <w:pPr>
              <w:jc w:val="center"/>
              <w:rPr>
                <w:rFonts w:ascii="仿宋" w:eastAsia="仿宋" w:hAnsi="仿宋"/>
                <w:kern w:val="0"/>
                <w:sz w:val="22"/>
              </w:rPr>
            </w:pPr>
            <w:r>
              <w:rPr>
                <w:rFonts w:ascii="宋体" w:hAnsi="宋体"/>
                <w:bCs/>
                <w:kern w:val="0"/>
                <w:sz w:val="22"/>
              </w:rPr>
              <w:t>其他情形</w:t>
            </w:r>
          </w:p>
        </w:tc>
        <w:tc>
          <w:tcPr>
            <w:tcW w:w="1701" w:type="dxa"/>
            <w:vAlign w:val="center"/>
          </w:tcPr>
          <w:p w14:paraId="32434B1D" w14:textId="77777777" w:rsidR="004E1659" w:rsidRDefault="00F42610">
            <w:pPr>
              <w:jc w:val="center"/>
              <w:rPr>
                <w:rFonts w:ascii="Cambria" w:eastAsia="仿宋" w:hAnsi="Cambria"/>
                <w:kern w:val="0"/>
                <w:sz w:val="22"/>
              </w:rPr>
            </w:pPr>
            <w:r>
              <w:rPr>
                <w:rFonts w:ascii="Cambria" w:eastAsia="仿宋" w:hAnsi="Cambria" w:hint="eastAsia"/>
                <w:kern w:val="0"/>
                <w:sz w:val="22"/>
              </w:rPr>
              <w:t>0.60%</w:t>
            </w:r>
          </w:p>
        </w:tc>
        <w:tc>
          <w:tcPr>
            <w:tcW w:w="1701" w:type="dxa"/>
            <w:vAlign w:val="center"/>
          </w:tcPr>
          <w:p w14:paraId="5AA5696E" w14:textId="77777777" w:rsidR="004E1659" w:rsidRDefault="00F42610">
            <w:pPr>
              <w:jc w:val="center"/>
              <w:rPr>
                <w:rFonts w:ascii="Cambria" w:eastAsia="仿宋" w:hAnsi="Cambria"/>
                <w:kern w:val="0"/>
                <w:sz w:val="22"/>
              </w:rPr>
            </w:pPr>
            <w:r>
              <w:rPr>
                <w:rFonts w:ascii="Cambria" w:eastAsia="仿宋" w:hAnsi="Cambria" w:hint="eastAsia"/>
                <w:kern w:val="0"/>
                <w:sz w:val="22"/>
              </w:rPr>
              <w:t>0</w:t>
            </w:r>
          </w:p>
        </w:tc>
      </w:tr>
      <w:tr w:rsidR="004E1659" w14:paraId="3EF13DE7" w14:textId="77777777">
        <w:trPr>
          <w:trHeight w:val="510"/>
          <w:jc w:val="center"/>
        </w:trPr>
        <w:tc>
          <w:tcPr>
            <w:tcW w:w="1247" w:type="dxa"/>
            <w:vAlign w:val="center"/>
          </w:tcPr>
          <w:p w14:paraId="73E698D6" w14:textId="77777777" w:rsidR="004E1659" w:rsidRDefault="00F42610">
            <w:pPr>
              <w:jc w:val="center"/>
              <w:rPr>
                <w:rFonts w:ascii="宋体" w:hAnsi="宋体"/>
                <w:kern w:val="0"/>
                <w:sz w:val="22"/>
              </w:rPr>
            </w:pPr>
            <w:r>
              <w:rPr>
                <w:rFonts w:ascii="宋体" w:hAnsi="宋体" w:hint="eastAsia"/>
                <w:kern w:val="0"/>
                <w:sz w:val="22"/>
              </w:rPr>
              <w:t>情形三</w:t>
            </w:r>
          </w:p>
        </w:tc>
        <w:tc>
          <w:tcPr>
            <w:tcW w:w="2933" w:type="dxa"/>
            <w:vAlign w:val="center"/>
          </w:tcPr>
          <w:p w14:paraId="70823CFB" w14:textId="77777777" w:rsidR="004E1659" w:rsidRDefault="00F42610">
            <w:pPr>
              <w:spacing w:line="276" w:lineRule="auto"/>
              <w:jc w:val="center"/>
              <w:rPr>
                <w:rFonts w:ascii="仿宋" w:eastAsia="仿宋" w:hAnsi="仿宋"/>
                <w:b/>
                <w:bCs/>
                <w:kern w:val="0"/>
                <w:sz w:val="22"/>
              </w:rPr>
            </w:pPr>
            <w:r>
              <w:rPr>
                <w:bCs/>
                <w:sz w:val="22"/>
              </w:rPr>
              <w:t>R</w:t>
            </w:r>
            <w:r>
              <w:rPr>
                <w:rFonts w:ascii="仿宋" w:eastAsia="仿宋" w:hAnsi="仿宋" w:hint="eastAsia"/>
                <w:bCs/>
                <w:sz w:val="22"/>
              </w:rPr>
              <w:t>＞</w:t>
            </w:r>
            <w:r>
              <w:rPr>
                <w:bCs/>
                <w:sz w:val="22"/>
              </w:rPr>
              <w:t>R</w:t>
            </w:r>
            <w:r>
              <w:rPr>
                <w:rFonts w:asciiTheme="majorHAnsi" w:hAnsiTheme="majorHAnsi"/>
                <w:spacing w:val="-2"/>
                <w:sz w:val="22"/>
                <w:vertAlign w:val="subscript"/>
              </w:rPr>
              <w:t>b</w:t>
            </w:r>
            <w:r>
              <w:rPr>
                <w:bCs/>
                <w:sz w:val="22"/>
              </w:rPr>
              <w:t>+6%</w:t>
            </w:r>
            <w:r>
              <w:rPr>
                <w:bCs/>
                <w:sz w:val="22"/>
              </w:rPr>
              <w:t>，</w:t>
            </w:r>
            <w:r>
              <w:rPr>
                <w:bCs/>
                <w:sz w:val="22"/>
              </w:rPr>
              <w:t>R</w:t>
            </w:r>
            <w:r>
              <w:rPr>
                <w:rFonts w:ascii="仿宋" w:eastAsia="仿宋" w:hAnsi="仿宋" w:hint="eastAsia"/>
                <w:bCs/>
                <w:sz w:val="22"/>
              </w:rPr>
              <w:t>＞</w:t>
            </w:r>
            <w:r>
              <w:rPr>
                <w:bCs/>
                <w:sz w:val="22"/>
              </w:rPr>
              <w:t>0</w:t>
            </w:r>
          </w:p>
        </w:tc>
        <w:tc>
          <w:tcPr>
            <w:tcW w:w="1701" w:type="dxa"/>
            <w:vAlign w:val="center"/>
          </w:tcPr>
          <w:p w14:paraId="4F6A511C" w14:textId="77777777" w:rsidR="004E1659" w:rsidRDefault="00F42610">
            <w:pPr>
              <w:jc w:val="center"/>
              <w:rPr>
                <w:rFonts w:ascii="Cambria" w:eastAsia="仿宋" w:hAnsi="Cambria"/>
                <w:kern w:val="0"/>
                <w:sz w:val="22"/>
              </w:rPr>
            </w:pPr>
            <w:r>
              <w:rPr>
                <w:rFonts w:ascii="Cambria" w:eastAsia="仿宋" w:hAnsi="Cambria" w:hint="eastAsia"/>
                <w:kern w:val="0"/>
                <w:sz w:val="22"/>
              </w:rPr>
              <w:t>0.60%</w:t>
            </w:r>
          </w:p>
        </w:tc>
        <w:tc>
          <w:tcPr>
            <w:tcW w:w="1701" w:type="dxa"/>
            <w:vAlign w:val="center"/>
          </w:tcPr>
          <w:p w14:paraId="3CB6769D" w14:textId="77777777" w:rsidR="004E1659" w:rsidRDefault="00F42610">
            <w:pPr>
              <w:jc w:val="center"/>
              <w:rPr>
                <w:rFonts w:ascii="Cambria" w:eastAsia="仿宋" w:hAnsi="Cambria"/>
                <w:kern w:val="0"/>
                <w:sz w:val="22"/>
              </w:rPr>
            </w:pPr>
            <w:r>
              <w:rPr>
                <w:rFonts w:ascii="Cambria" w:eastAsia="仿宋" w:hAnsi="Cambria" w:hint="eastAsia"/>
                <w:kern w:val="0"/>
                <w:sz w:val="22"/>
              </w:rPr>
              <w:t>0.30%</w:t>
            </w:r>
          </w:p>
        </w:tc>
      </w:tr>
    </w:tbl>
    <w:bookmarkEnd w:id="111"/>
    <w:p w14:paraId="47E08ABA" w14:textId="31A0BF71" w:rsidR="004E1659" w:rsidRDefault="00F42610">
      <w:pPr>
        <w:spacing w:line="360" w:lineRule="auto"/>
        <w:ind w:firstLineChars="200" w:firstLine="480"/>
        <w:rPr>
          <w:bCs/>
          <w:sz w:val="24"/>
          <w14:ligatures w14:val="standardContextual"/>
        </w:rPr>
      </w:pPr>
      <w:r>
        <w:rPr>
          <w:rFonts w:hint="eastAsia"/>
          <w:bCs/>
          <w:sz w:val="24"/>
          <w14:ligatures w14:val="standardContextual"/>
        </w:rPr>
        <w:t>对于“情形三”，若拟扣除超额管理费后的年化收益率小于等于</w:t>
      </w:r>
      <w:r>
        <w:rPr>
          <w:bCs/>
          <w:sz w:val="24"/>
          <w14:ligatures w14:val="standardContextual"/>
        </w:rPr>
        <w:t>R</w:t>
      </w:r>
      <w:r>
        <w:rPr>
          <w:bCs/>
          <w:sz w:val="24"/>
          <w:vertAlign w:val="subscript"/>
          <w14:ligatures w14:val="standardContextual"/>
        </w:rPr>
        <w:t>b</w:t>
      </w:r>
      <w:r>
        <w:rPr>
          <w:bCs/>
          <w:sz w:val="24"/>
          <w14:ligatures w14:val="standardContextual"/>
        </w:rPr>
        <w:t>+6%</w:t>
      </w:r>
      <w:r>
        <w:rPr>
          <w:rFonts w:hint="eastAsia"/>
          <w:bCs/>
          <w:sz w:val="24"/>
          <w14:ligatures w14:val="standardContextual"/>
        </w:rPr>
        <w:t>，或小于等于</w:t>
      </w:r>
      <w:r>
        <w:rPr>
          <w:rFonts w:hint="eastAsia"/>
          <w:bCs/>
          <w:sz w:val="24"/>
          <w14:ligatures w14:val="standardContextual"/>
        </w:rPr>
        <w:t>0</w:t>
      </w:r>
      <w:r>
        <w:rPr>
          <w:rFonts w:hint="eastAsia"/>
          <w:bCs/>
          <w:sz w:val="24"/>
          <w14:ligatures w14:val="standardContextual"/>
        </w:rPr>
        <w:t>时，仍按</w:t>
      </w:r>
      <w:r>
        <w:rPr>
          <w:rFonts w:hint="eastAsia"/>
          <w:bCs/>
          <w:sz w:val="24"/>
          <w14:ligatures w14:val="standardContextual"/>
        </w:rPr>
        <w:t>1.20%</w:t>
      </w:r>
      <w:r>
        <w:rPr>
          <w:rFonts w:hint="eastAsia"/>
          <w:bCs/>
          <w:sz w:val="24"/>
          <w14:ligatures w14:val="standardContextual"/>
        </w:rPr>
        <w:t>年费率收取该笔基金份额的管理费，以使得该笔基金份额在扣除超额管理费后的年化收益率仍满足本基金收取超额管理费的标准。</w:t>
      </w:r>
    </w:p>
    <w:p w14:paraId="0C36EA2C" w14:textId="77777777" w:rsidR="004E1659" w:rsidRDefault="00F42610">
      <w:pPr>
        <w:adjustRightInd w:val="0"/>
        <w:snapToGrid w:val="0"/>
        <w:spacing w:line="360" w:lineRule="auto"/>
        <w:ind w:firstLineChars="177" w:firstLine="425"/>
        <w:rPr>
          <w:rFonts w:ascii="宋体" w:hAnsi="宋体"/>
          <w:sz w:val="24"/>
          <w:szCs w:val="24"/>
        </w:rPr>
      </w:pPr>
      <w:r>
        <w:rPr>
          <w:rFonts w:ascii="宋体" w:hAnsi="宋体" w:hint="eastAsia"/>
          <w:sz w:val="24"/>
          <w:szCs w:val="24"/>
        </w:rPr>
        <w:t>每笔基金份额持有期的年化收益率（R）计算方法如下：</w:t>
      </w:r>
    </w:p>
    <w:p w14:paraId="31C26357" w14:textId="77777777" w:rsidR="004E1659" w:rsidRDefault="00F42610">
      <w:pPr>
        <w:adjustRightInd w:val="0"/>
        <w:snapToGrid w:val="0"/>
        <w:spacing w:line="360" w:lineRule="auto"/>
        <w:ind w:firstLineChars="129" w:firstLine="361"/>
        <w:jc w:val="center"/>
        <w:rPr>
          <w:rFonts w:asciiTheme="minorEastAsia" w:eastAsiaTheme="minorEastAsia" w:hAnsiTheme="minorEastAsia"/>
          <w:sz w:val="24"/>
        </w:rPr>
      </w:pPr>
      <m:oMath>
        <m:r>
          <m:rPr>
            <m:sty m:val="p"/>
          </m:rPr>
          <w:rPr>
            <w:rFonts w:ascii="Cambria Math" w:hAnsi="Cambria Math"/>
            <w:sz w:val="28"/>
            <w:szCs w:val="24"/>
          </w:rPr>
          <m:t>R=</m:t>
        </m:r>
        <m:f>
          <m:fPr>
            <m:ctrlPr>
              <w:rPr>
                <w:rFonts w:ascii="Cambria Math" w:hAnsi="Cambria Math" w:cs="Calibri"/>
                <w:sz w:val="28"/>
                <w:szCs w:val="24"/>
              </w:rPr>
            </m:ctrlPr>
          </m:fPr>
          <m:num>
            <m:r>
              <w:rPr>
                <w:rFonts w:ascii="Cambria Math" w:hAnsi="Cambria Math" w:cs="Calibri" w:hint="eastAsia"/>
                <w:sz w:val="28"/>
                <w:szCs w:val="24"/>
              </w:rPr>
              <m:t>A</m:t>
            </m:r>
            <m:r>
              <w:rPr>
                <w:rFonts w:ascii="Cambria Math" w:hAnsi="Cambria Math"/>
                <w:sz w:val="28"/>
                <w:szCs w:val="24"/>
              </w:rPr>
              <m:t>-</m:t>
            </m:r>
            <m:r>
              <w:rPr>
                <w:rFonts w:ascii="Cambria Math" w:hAnsi="Cambria Math" w:cs="Calibri" w:hint="eastAsia"/>
                <w:sz w:val="28"/>
                <w:szCs w:val="24"/>
              </w:rPr>
              <m:t>B</m:t>
            </m:r>
          </m:num>
          <m:den>
            <m:r>
              <w:rPr>
                <w:rFonts w:ascii="Cambria Math" w:hAnsi="Cambria Math" w:cs="Calibri" w:hint="eastAsia"/>
                <w:sz w:val="28"/>
                <w:szCs w:val="24"/>
              </w:rPr>
              <m:t>C</m:t>
            </m:r>
          </m:den>
        </m:f>
      </m:oMath>
      <w:r>
        <w:rPr>
          <w:rFonts w:asciiTheme="minorEastAsia" w:eastAsiaTheme="minorEastAsia" w:hAnsiTheme="minorEastAsia"/>
          <w:sz w:val="24"/>
        </w:rPr>
        <w:t>×</w:t>
      </w:r>
      <m:oMath>
        <m:f>
          <m:fPr>
            <m:ctrlPr>
              <w:rPr>
                <w:rFonts w:ascii="Cambria Math" w:hAnsi="Cambria Math" w:cs="Calibri"/>
                <w:sz w:val="32"/>
              </w:rPr>
            </m:ctrlPr>
          </m:fPr>
          <m:num>
            <m:r>
              <w:rPr>
                <w:rFonts w:ascii="Cambria Math" w:hAnsi="Cambria Math"/>
                <w:sz w:val="32"/>
              </w:rPr>
              <m:t>365</m:t>
            </m:r>
          </m:num>
          <m:den>
            <m:r>
              <w:rPr>
                <w:rFonts w:ascii="Cambria Math" w:hAnsi="Cambria Math" w:cs="Calibri" w:hint="eastAsia"/>
                <w:sz w:val="32"/>
              </w:rPr>
              <m:t>D</m:t>
            </m:r>
          </m:den>
        </m:f>
      </m:oMath>
      <w:r>
        <w:rPr>
          <w:rFonts w:asciiTheme="minorEastAsia" w:eastAsiaTheme="minorEastAsia" w:hAnsiTheme="minorEastAsia"/>
          <w:sz w:val="24"/>
        </w:rPr>
        <w:t>×100%</w:t>
      </w:r>
    </w:p>
    <w:p w14:paraId="77DC1284" w14:textId="77777777" w:rsidR="004E1659" w:rsidRDefault="00F42610">
      <w:pPr>
        <w:adjustRightInd w:val="0"/>
        <w:snapToGrid w:val="0"/>
        <w:spacing w:line="360" w:lineRule="auto"/>
        <w:ind w:firstLineChars="177" w:firstLine="425"/>
        <w:rPr>
          <w:rFonts w:ascii="宋体" w:hAnsi="宋体"/>
          <w:sz w:val="24"/>
          <w:szCs w:val="24"/>
        </w:rPr>
      </w:pPr>
      <w:r>
        <w:rPr>
          <w:rFonts w:ascii="宋体" w:hAnsi="宋体" w:hint="eastAsia"/>
          <w:sz w:val="24"/>
          <w:szCs w:val="24"/>
        </w:rPr>
        <w:t>业绩比较基准同期年化收益率（</w:t>
      </w:r>
      <w:r>
        <w:rPr>
          <w:bCs/>
          <w:sz w:val="24"/>
          <w14:ligatures w14:val="standardContextual"/>
        </w:rPr>
        <w:t>R</w:t>
      </w:r>
      <w:r>
        <w:rPr>
          <w:bCs/>
          <w:sz w:val="24"/>
          <w:vertAlign w:val="subscript"/>
          <w14:ligatures w14:val="standardContextual"/>
        </w:rPr>
        <w:t>b</w:t>
      </w:r>
      <w:r>
        <w:rPr>
          <w:rFonts w:ascii="宋体" w:hAnsi="宋体" w:hint="eastAsia"/>
          <w:sz w:val="24"/>
          <w:szCs w:val="24"/>
        </w:rPr>
        <w:t>）计算方法如下：</w:t>
      </w:r>
    </w:p>
    <w:p w14:paraId="50BF46C4" w14:textId="77777777" w:rsidR="004E1659" w:rsidRDefault="00395293">
      <w:pPr>
        <w:adjustRightInd w:val="0"/>
        <w:snapToGrid w:val="0"/>
        <w:spacing w:line="360" w:lineRule="auto"/>
        <w:ind w:firstLineChars="129" w:firstLine="310"/>
        <w:jc w:val="center"/>
        <w:rPr>
          <w:rFonts w:asciiTheme="minorEastAsia" w:eastAsiaTheme="minorEastAsia" w:hAnsiTheme="minorEastAsia"/>
          <w:sz w:val="24"/>
        </w:rPr>
      </w:pPr>
      <m:oMath>
        <m:sSub>
          <m:sSubPr>
            <m:ctrlPr>
              <w:rPr>
                <w:rFonts w:ascii="Cambria Math" w:hAnsi="Cambria Math"/>
                <w:bCs/>
                <w:sz w:val="24"/>
                <w:szCs w:val="24"/>
                <w:vertAlign w:val="subscript"/>
                <w14:ligatures w14:val="standardContextual"/>
              </w:rPr>
            </m:ctrlPr>
          </m:sSubPr>
          <m:e>
            <m:r>
              <w:rPr>
                <w:rFonts w:ascii="Cambria Math" w:hAnsi="Cambria Math"/>
                <w:sz w:val="24"/>
                <w:szCs w:val="24"/>
                <w:vertAlign w:val="subscript"/>
                <w14:ligatures w14:val="standardContextual"/>
              </w:rPr>
              <m:t>R</m:t>
            </m:r>
          </m:e>
          <m:sub>
            <m:r>
              <w:rPr>
                <w:rFonts w:ascii="Cambria Math" w:hAnsi="Cambria Math"/>
                <w:sz w:val="24"/>
                <w:szCs w:val="24"/>
                <w:vertAlign w:val="subscript"/>
                <w14:ligatures w14:val="standardContextual"/>
              </w:rPr>
              <m:t>b</m:t>
            </m:r>
          </m:sub>
        </m:sSub>
        <m:r>
          <m:rPr>
            <m:sty m:val="p"/>
          </m:rPr>
          <w:rPr>
            <w:rFonts w:ascii="Cambria Math" w:hAnsi="Cambria Math"/>
            <w:sz w:val="24"/>
            <w:szCs w:val="24"/>
          </w:rPr>
          <m:t>=</m:t>
        </m:r>
        <m:r>
          <m:rPr>
            <m:sty m:val="p"/>
          </m:rPr>
          <w:rPr>
            <w:rFonts w:ascii="Cambria Math" w:hAnsi="Cambria Math"/>
            <w:sz w:val="24"/>
            <w:szCs w:val="24"/>
          </w:rPr>
          <m:t>业绩比较基准同期收益率</m:t>
        </m:r>
      </m:oMath>
      <w:r w:rsidR="00F42610">
        <w:rPr>
          <w:rFonts w:asciiTheme="minorEastAsia" w:eastAsiaTheme="minorEastAsia" w:hAnsiTheme="minorEastAsia"/>
          <w:sz w:val="24"/>
          <w:szCs w:val="24"/>
        </w:rPr>
        <w:t>×</w:t>
      </w:r>
      <m:oMath>
        <m:f>
          <m:fPr>
            <m:ctrlPr>
              <w:rPr>
                <w:rFonts w:ascii="Cambria Math" w:hAnsi="Cambria Math" w:cs="Calibri"/>
                <w:sz w:val="32"/>
              </w:rPr>
            </m:ctrlPr>
          </m:fPr>
          <m:num>
            <m:r>
              <w:rPr>
                <w:rFonts w:ascii="Cambria Math" w:hAnsi="Cambria Math"/>
                <w:sz w:val="32"/>
              </w:rPr>
              <m:t>365</m:t>
            </m:r>
          </m:num>
          <m:den>
            <m:r>
              <w:rPr>
                <w:rFonts w:ascii="Cambria Math" w:hAnsi="Cambria Math" w:cs="Calibri" w:hint="eastAsia"/>
                <w:sz w:val="32"/>
              </w:rPr>
              <m:t>D</m:t>
            </m:r>
          </m:den>
        </m:f>
      </m:oMath>
      <w:r w:rsidR="00F42610">
        <w:rPr>
          <w:rFonts w:asciiTheme="minorEastAsia" w:eastAsiaTheme="minorEastAsia" w:hAnsiTheme="minorEastAsia"/>
          <w:sz w:val="24"/>
        </w:rPr>
        <w:t>×100%</w:t>
      </w:r>
    </w:p>
    <w:p w14:paraId="0FE4AFBF" w14:textId="77777777" w:rsidR="004E1659" w:rsidRDefault="00F42610">
      <w:pPr>
        <w:spacing w:line="360" w:lineRule="auto"/>
        <w:ind w:firstLineChars="200" w:firstLine="480"/>
        <w:rPr>
          <w:bCs/>
          <w:sz w:val="24"/>
          <w14:ligatures w14:val="standardContextual"/>
        </w:rPr>
      </w:pPr>
      <w:r>
        <w:rPr>
          <w:rFonts w:hint="eastAsia"/>
          <w:bCs/>
          <w:sz w:val="24"/>
          <w14:ligatures w14:val="standardContextual"/>
        </w:rPr>
        <w:t>拟扣除超额管理费后的年化收益率（</w:t>
      </w:r>
      <w:r>
        <w:rPr>
          <w:rFonts w:hint="eastAsia"/>
          <w:bCs/>
          <w:sz w:val="24"/>
          <w14:ligatures w14:val="standardContextual"/>
        </w:rPr>
        <w:t>R*</w:t>
      </w:r>
      <w:r>
        <w:rPr>
          <w:rFonts w:hint="eastAsia"/>
          <w:bCs/>
          <w:sz w:val="24"/>
          <w14:ligatures w14:val="standardContextual"/>
        </w:rPr>
        <w:t>）的计算方法如下：</w:t>
      </w:r>
    </w:p>
    <w:p w14:paraId="5336E8C9" w14:textId="77777777" w:rsidR="004E1659" w:rsidRDefault="00F42610">
      <w:pPr>
        <w:spacing w:line="360" w:lineRule="auto"/>
        <w:ind w:firstLineChars="200" w:firstLine="480"/>
        <w:jc w:val="center"/>
        <w:rPr>
          <w:bCs/>
          <w:sz w:val="24"/>
          <w14:ligatures w14:val="standardContextual"/>
        </w:rPr>
      </w:pPr>
      <m:oMathPara>
        <m:oMath>
          <m:r>
            <m:rPr>
              <m:sty m:val="p"/>
            </m:rPr>
            <w:rPr>
              <w:rFonts w:ascii="Cambria Math" w:hAnsi="Cambria Math" w:hint="eastAsia"/>
              <w:sz w:val="24"/>
              <w14:ligatures w14:val="standardContextual"/>
            </w:rPr>
            <m:t>R</m:t>
          </m:r>
          <m:r>
            <m:rPr>
              <m:sty m:val="p"/>
            </m:rPr>
            <w:rPr>
              <w:rFonts w:ascii="MS Gothic" w:hAnsi="MS Gothic" w:cs="MS Gothic"/>
              <w:sz w:val="24"/>
              <w14:ligatures w14:val="standardContextual"/>
            </w:rPr>
            <m:t>*</m:t>
          </m:r>
          <m:r>
            <w:rPr>
              <w:rFonts w:ascii="Cambria Math" w:hAnsi="Cambria Math"/>
              <w:sz w:val="24"/>
              <w14:ligatures w14:val="standardContextual"/>
            </w:rPr>
            <m:t>=</m:t>
          </m:r>
          <m:f>
            <m:fPr>
              <m:ctrlPr>
                <w:rPr>
                  <w:rFonts w:ascii="Cambria Math" w:hAnsi="Cambria Math"/>
                  <w:bCs/>
                  <w:i/>
                  <w:sz w:val="24"/>
                  <w14:ligatures w14:val="standardContextual"/>
                </w:rPr>
              </m:ctrlPr>
            </m:fPr>
            <m:num>
              <m:r>
                <w:rPr>
                  <w:rFonts w:ascii="Cambria Math" w:hAnsi="Cambria Math"/>
                  <w:sz w:val="24"/>
                  <w14:ligatures w14:val="standardContextual"/>
                </w:rPr>
                <m:t>F×</m:t>
              </m:r>
              <m:d>
                <m:dPr>
                  <m:ctrlPr>
                    <w:rPr>
                      <w:rFonts w:ascii="Cambria Math" w:hAnsi="Cambria Math"/>
                      <w:bCs/>
                      <w:i/>
                      <w:sz w:val="24"/>
                      <w14:ligatures w14:val="standardContextual"/>
                    </w:rPr>
                  </m:ctrlPr>
                </m:dPr>
                <m:e>
                  <m:r>
                    <w:rPr>
                      <w:rFonts w:ascii="Cambria Math" w:hAnsi="Cambria Math"/>
                      <w:sz w:val="24"/>
                      <w14:ligatures w14:val="standardContextual"/>
                    </w:rPr>
                    <m:t>A-B</m:t>
                  </m:r>
                </m:e>
              </m:d>
              <m:r>
                <w:rPr>
                  <w:rFonts w:ascii="Cambria Math" w:hAnsi="Cambria Math"/>
                  <w:sz w:val="24"/>
                  <w14:ligatures w14:val="standardContextual"/>
                </w:rPr>
                <m:t>-</m:t>
              </m:r>
              <m:sSub>
                <m:sSubPr>
                  <m:ctrlPr>
                    <w:rPr>
                      <w:rFonts w:ascii="Cambria Math" w:hAnsi="Cambria Math"/>
                      <w:bCs/>
                      <w:i/>
                      <w:sz w:val="24"/>
                      <w14:ligatures w14:val="standardContextual"/>
                    </w:rPr>
                  </m:ctrlPr>
                </m:sSubPr>
                <m:e>
                  <m:r>
                    <w:rPr>
                      <w:rFonts w:ascii="Cambria Math" w:hAnsi="Cambria Math"/>
                      <w:sz w:val="24"/>
                      <w14:ligatures w14:val="standardContextual"/>
                    </w:rPr>
                    <m:t>M</m:t>
                  </m:r>
                </m:e>
                <m:sub>
                  <m:r>
                    <w:rPr>
                      <w:rFonts w:ascii="Cambria Math" w:hAnsi="Cambria Math"/>
                      <w:sz w:val="24"/>
                      <w14:ligatures w14:val="standardContextual"/>
                    </w:rPr>
                    <m:t>C</m:t>
                  </m:r>
                </m:sub>
              </m:sSub>
            </m:num>
            <m:den>
              <m:r>
                <w:rPr>
                  <w:rFonts w:ascii="Cambria Math" w:hAnsi="Cambria Math"/>
                  <w:sz w:val="24"/>
                  <w14:ligatures w14:val="standardContextual"/>
                </w:rPr>
                <m:t>F×C</m:t>
              </m:r>
            </m:den>
          </m:f>
          <m:r>
            <w:rPr>
              <w:rFonts w:ascii="Cambria Math" w:hAnsi="Cambria Math"/>
              <w:sz w:val="24"/>
              <w14:ligatures w14:val="standardContextual"/>
            </w:rPr>
            <m:t>×</m:t>
          </m:r>
          <m:f>
            <m:fPr>
              <m:ctrlPr>
                <w:rPr>
                  <w:rFonts w:ascii="Cambria Math" w:hAnsi="Cambria Math"/>
                  <w:bCs/>
                  <w:i/>
                  <w:sz w:val="24"/>
                  <w14:ligatures w14:val="standardContextual"/>
                </w:rPr>
              </m:ctrlPr>
            </m:fPr>
            <m:num>
              <m:r>
                <w:rPr>
                  <w:rFonts w:ascii="Cambria Math" w:hAnsi="Cambria Math"/>
                  <w:sz w:val="24"/>
                  <w14:ligatures w14:val="standardContextual"/>
                </w:rPr>
                <m:t>365</m:t>
              </m:r>
            </m:num>
            <m:den>
              <m:r>
                <w:rPr>
                  <w:rFonts w:ascii="Cambria Math" w:hAnsi="Cambria Math"/>
                  <w:sz w:val="24"/>
                  <w14:ligatures w14:val="standardContextual"/>
                </w:rPr>
                <m:t>D</m:t>
              </m:r>
            </m:den>
          </m:f>
          <m:r>
            <w:rPr>
              <w:rFonts w:ascii="Cambria Math" w:eastAsia="仿宋" w:hAnsi="Cambria Math" w:cs="TimesNewRomanPSMT"/>
              <w:sz w:val="24"/>
              <w14:ligatures w14:val="standardContextual"/>
            </w:rPr>
            <m:t>×100%</m:t>
          </m:r>
        </m:oMath>
      </m:oMathPara>
    </w:p>
    <w:p w14:paraId="29A738B8" w14:textId="77777777" w:rsidR="004E1659" w:rsidRDefault="00F42610">
      <w:pPr>
        <w:adjustRightInd w:val="0"/>
        <w:snapToGrid w:val="0"/>
        <w:spacing w:line="360" w:lineRule="auto"/>
        <w:ind w:left="60" w:firstLine="420"/>
        <w:rPr>
          <w:rFonts w:ascii="宋体" w:hAnsi="宋体"/>
          <w:sz w:val="24"/>
          <w:szCs w:val="24"/>
        </w:rPr>
      </w:pPr>
      <w:r>
        <w:rPr>
          <w:rFonts w:ascii="宋体" w:hAnsi="宋体" w:hint="eastAsia"/>
          <w:sz w:val="24"/>
          <w:szCs w:val="24"/>
        </w:rPr>
        <w:t>R为该笔基金份额的年化收益率；</w:t>
      </w:r>
      <w:r>
        <w:rPr>
          <w:bCs/>
          <w:sz w:val="24"/>
          <w14:ligatures w14:val="standardContextual"/>
        </w:rPr>
        <w:t>R</w:t>
      </w:r>
      <w:r>
        <w:rPr>
          <w:bCs/>
          <w:sz w:val="24"/>
          <w:vertAlign w:val="subscript"/>
          <w14:ligatures w14:val="standardContextual"/>
        </w:rPr>
        <w:t>b</w:t>
      </w:r>
      <w:r>
        <w:rPr>
          <w:rFonts w:ascii="宋体" w:hAnsi="宋体" w:hint="eastAsia"/>
          <w:sz w:val="24"/>
          <w:szCs w:val="24"/>
        </w:rPr>
        <w:t>为本基金业绩比较基准同期年化收益率；</w:t>
      </w:r>
    </w:p>
    <w:p w14:paraId="0F37AF55" w14:textId="77777777" w:rsidR="004E1659" w:rsidRDefault="00F42610">
      <w:pPr>
        <w:adjustRightInd w:val="0"/>
        <w:snapToGrid w:val="0"/>
        <w:spacing w:line="360" w:lineRule="auto"/>
        <w:ind w:left="60" w:firstLine="420"/>
        <w:rPr>
          <w:rFonts w:ascii="宋体" w:hAnsi="宋体"/>
          <w:sz w:val="24"/>
          <w:szCs w:val="24"/>
        </w:rPr>
      </w:pPr>
      <w:r>
        <w:rPr>
          <w:rFonts w:ascii="宋体" w:hAnsi="宋体" w:hint="eastAsia"/>
          <w:sz w:val="24"/>
          <w:szCs w:val="24"/>
        </w:rPr>
        <w:t>A为该笔份额赎回日、转换转出日或基金合同终止情形发生日的基金份额累计净值；</w:t>
      </w:r>
    </w:p>
    <w:p w14:paraId="664E041A" w14:textId="77777777" w:rsidR="004E1659" w:rsidRDefault="00F42610">
      <w:pPr>
        <w:adjustRightInd w:val="0"/>
        <w:snapToGrid w:val="0"/>
        <w:spacing w:line="360" w:lineRule="auto"/>
        <w:ind w:left="60" w:firstLine="420"/>
        <w:rPr>
          <w:rFonts w:ascii="宋体" w:hAnsi="宋体"/>
          <w:sz w:val="24"/>
          <w:szCs w:val="24"/>
        </w:rPr>
      </w:pPr>
      <w:r>
        <w:rPr>
          <w:rFonts w:ascii="宋体" w:hAnsi="宋体" w:hint="eastAsia"/>
          <w:sz w:val="24"/>
          <w:szCs w:val="24"/>
        </w:rPr>
        <w:t>B为该笔份额认购/申购/转换转入日的基金份额累计净值，其中份额认购日的基金份额（累计）净值为1.00元；</w:t>
      </w:r>
    </w:p>
    <w:p w14:paraId="5A004A70" w14:textId="77777777" w:rsidR="004E1659" w:rsidRDefault="00F42610">
      <w:pPr>
        <w:adjustRightInd w:val="0"/>
        <w:snapToGrid w:val="0"/>
        <w:spacing w:line="360" w:lineRule="auto"/>
        <w:ind w:left="60" w:firstLine="420"/>
        <w:rPr>
          <w:rFonts w:ascii="宋体" w:hAnsi="宋体"/>
          <w:sz w:val="24"/>
          <w:szCs w:val="24"/>
        </w:rPr>
      </w:pPr>
      <w:r>
        <w:rPr>
          <w:rFonts w:ascii="宋体" w:hAnsi="宋体" w:hint="eastAsia"/>
          <w:sz w:val="24"/>
          <w:szCs w:val="24"/>
        </w:rPr>
        <w:t>C为该笔份额认购/申购/转换转入日的基金份额净值，</w:t>
      </w:r>
      <w:r>
        <w:rPr>
          <w:rFonts w:hint="eastAsia"/>
          <w:bCs/>
          <w:sz w:val="24"/>
          <w14:ligatures w14:val="standardContextual"/>
        </w:rPr>
        <w:t>其中</w:t>
      </w:r>
      <w:r>
        <w:rPr>
          <w:bCs/>
          <w:sz w:val="24"/>
          <w14:ligatures w14:val="standardContextual"/>
        </w:rPr>
        <w:t>份额认购日的基金份额净值为</w:t>
      </w:r>
      <w:r>
        <w:rPr>
          <w:rFonts w:hint="eastAsia"/>
          <w:bCs/>
          <w:sz w:val="24"/>
          <w14:ligatures w14:val="standardContextual"/>
        </w:rPr>
        <w:t>1</w:t>
      </w:r>
      <w:r>
        <w:rPr>
          <w:bCs/>
          <w:sz w:val="24"/>
          <w14:ligatures w14:val="standardContextual"/>
        </w:rPr>
        <w:t>.00</w:t>
      </w:r>
      <w:r>
        <w:rPr>
          <w:bCs/>
          <w:sz w:val="24"/>
          <w14:ligatures w14:val="standardContextual"/>
        </w:rPr>
        <w:t>元</w:t>
      </w:r>
      <w:r>
        <w:rPr>
          <w:rFonts w:ascii="宋体" w:hAnsi="宋体" w:hint="eastAsia"/>
          <w:sz w:val="24"/>
          <w:szCs w:val="24"/>
        </w:rPr>
        <w:t>；</w:t>
      </w:r>
    </w:p>
    <w:p w14:paraId="5834813B" w14:textId="77777777" w:rsidR="004E1659" w:rsidRDefault="00F42610">
      <w:pPr>
        <w:adjustRightInd w:val="0"/>
        <w:snapToGrid w:val="0"/>
        <w:spacing w:line="360" w:lineRule="auto"/>
        <w:ind w:left="60" w:firstLine="420"/>
        <w:rPr>
          <w:rFonts w:ascii="宋体" w:hAnsi="宋体"/>
          <w:sz w:val="24"/>
          <w:szCs w:val="24"/>
        </w:rPr>
      </w:pPr>
      <w:r>
        <w:rPr>
          <w:rFonts w:ascii="宋体" w:hAnsi="宋体" w:hint="eastAsia"/>
          <w:sz w:val="24"/>
          <w:szCs w:val="24"/>
        </w:rPr>
        <w:t>D为基金合同生效日（针对募集期内认购的基金份额）或该笔份额申购确认日、</w:t>
      </w:r>
      <w:r>
        <w:rPr>
          <w:rFonts w:ascii="宋体" w:hAnsi="宋体" w:hint="eastAsia"/>
          <w:sz w:val="24"/>
          <w:szCs w:val="24"/>
        </w:rPr>
        <w:lastRenderedPageBreak/>
        <w:t>转入确认日与赎回确认日、转出确认日或基金合同终止情形发生日下一工作日的间隔天数；</w:t>
      </w:r>
    </w:p>
    <w:p w14:paraId="714E8667" w14:textId="77777777" w:rsidR="004E1659" w:rsidRDefault="00F42610">
      <w:pPr>
        <w:adjustRightInd w:val="0"/>
        <w:snapToGrid w:val="0"/>
        <w:spacing w:line="360" w:lineRule="auto"/>
        <w:ind w:left="60" w:firstLine="420"/>
        <w:rPr>
          <w:bCs/>
          <w:sz w:val="24"/>
          <w14:ligatures w14:val="standardContextual"/>
        </w:rPr>
      </w:pPr>
      <w:r>
        <w:rPr>
          <w:rFonts w:hint="eastAsia"/>
          <w:bCs/>
          <w:sz w:val="24"/>
          <w14:ligatures w14:val="standardContextual"/>
        </w:rPr>
        <w:t>F</w:t>
      </w:r>
      <w:r>
        <w:rPr>
          <w:rFonts w:hint="eastAsia"/>
          <w:bCs/>
          <w:sz w:val="24"/>
          <w14:ligatures w14:val="standardContextual"/>
        </w:rPr>
        <w:t>为该笔基金份额的份额数；</w:t>
      </w:r>
    </w:p>
    <w:p w14:paraId="6C8712AE" w14:textId="77777777" w:rsidR="004E1659" w:rsidRDefault="00F42610">
      <w:pPr>
        <w:spacing w:line="360" w:lineRule="auto"/>
        <w:ind w:firstLineChars="200" w:firstLine="480"/>
        <w:rPr>
          <w:bCs/>
          <w:sz w:val="24"/>
          <w14:ligatures w14:val="standardContextual"/>
        </w:rPr>
      </w:pPr>
      <w:r>
        <w:rPr>
          <w:rFonts w:ascii="Cambria Math" w:hAnsi="Cambria Math" w:cs="Cambria Math"/>
          <w:bCs/>
          <w:sz w:val="24"/>
          <w14:ligatures w14:val="standardContextual"/>
        </w:rPr>
        <w:t>𝑀𝑐</w:t>
      </w:r>
      <w:r>
        <w:rPr>
          <w:rFonts w:hint="eastAsia"/>
          <w:bCs/>
          <w:sz w:val="24"/>
          <w14:ligatures w14:val="standardContextual"/>
        </w:rPr>
        <w:t>为该笔基金份额持有期内累计计算的超额管理费。</w:t>
      </w:r>
    </w:p>
    <w:p w14:paraId="14E48165" w14:textId="77777777" w:rsidR="004E1659" w:rsidRDefault="00F42610">
      <w:pPr>
        <w:adjustRightInd w:val="0"/>
        <w:snapToGrid w:val="0"/>
        <w:spacing w:line="360" w:lineRule="auto"/>
        <w:ind w:firstLineChars="200" w:firstLine="480"/>
        <w:rPr>
          <w:rFonts w:ascii="宋体" w:hAnsi="宋体" w:cs="Arial"/>
          <w:sz w:val="24"/>
        </w:rPr>
      </w:pPr>
      <w:r>
        <w:rPr>
          <w:rFonts w:hint="eastAsia"/>
          <w:bCs/>
          <w:sz w:val="24"/>
        </w:rPr>
        <w:t>在不违反法律法规、基金合同的约定的情况下，基金管理人可根据基金实际运作情况和市场环境变化，经履行适当程序后，对本基金的管理费（含固定管理费、或有管理费和超额管理费）计提标准或收取方式进行调整。</w:t>
      </w:r>
    </w:p>
    <w:p w14:paraId="1D44ADA0"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（二）基金托管费的计提比例和计提方法</w:t>
      </w:r>
    </w:p>
    <w:p w14:paraId="6EC593DC"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本基金的托管费按前一日基金资产净值的0.2</w:t>
      </w:r>
      <w:r>
        <w:rPr>
          <w:rFonts w:ascii="宋体" w:hAnsi="宋体" w:cs="Arial"/>
          <w:sz w:val="24"/>
        </w:rPr>
        <w:t>0</w:t>
      </w:r>
      <w:r>
        <w:rPr>
          <w:rFonts w:ascii="宋体" w:hAnsi="宋体" w:cs="Arial" w:hint="eastAsia"/>
          <w:sz w:val="24"/>
        </w:rPr>
        <w:t>%年费率计提。托管费的计算方法如下：</w:t>
      </w:r>
    </w:p>
    <w:p w14:paraId="2CC65CBA"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H＝E×0.2</w:t>
      </w:r>
      <w:r>
        <w:rPr>
          <w:rFonts w:ascii="宋体" w:hAnsi="宋体" w:cs="Arial"/>
          <w:sz w:val="24"/>
        </w:rPr>
        <w:t>0</w:t>
      </w:r>
      <w:r>
        <w:rPr>
          <w:rFonts w:ascii="宋体" w:hAnsi="宋体" w:cs="Arial" w:hint="eastAsia"/>
          <w:sz w:val="24"/>
        </w:rPr>
        <w:t>%÷当年天数</w:t>
      </w:r>
    </w:p>
    <w:p w14:paraId="50E02482"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H为每日应计提的基金托管费</w:t>
      </w:r>
    </w:p>
    <w:p w14:paraId="41E5805E"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E为前一日的基金资产净值</w:t>
      </w:r>
    </w:p>
    <w:p w14:paraId="1C7A7AA1" w14:textId="77777777" w:rsidR="004E1659" w:rsidRDefault="00F42610">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（三）销售服务费</w:t>
      </w:r>
      <w:r>
        <w:rPr>
          <w:rFonts w:ascii="宋体" w:hAnsi="宋体" w:cs="Arial" w:hint="eastAsia"/>
          <w:sz w:val="24"/>
        </w:rPr>
        <w:t>的计提比例和计提方法</w:t>
      </w:r>
    </w:p>
    <w:p w14:paraId="21BF3C38" w14:textId="0390D688" w:rsidR="004E1659" w:rsidRDefault="00F42610">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本基金A类基金份额不收取销售服务费，C类基金份额的销售服务费按前一日C类基金份额资产净值的0</w:t>
      </w:r>
      <w:r>
        <w:rPr>
          <w:rFonts w:ascii="宋体" w:hAnsi="宋体"/>
          <w:bCs/>
          <w:sz w:val="24"/>
          <w:szCs w:val="24"/>
        </w:rPr>
        <w:t>.40</w:t>
      </w:r>
      <w:r>
        <w:rPr>
          <w:rFonts w:ascii="宋体" w:hAnsi="宋体" w:hint="eastAsia"/>
          <w:bCs/>
          <w:sz w:val="24"/>
          <w:szCs w:val="24"/>
        </w:rPr>
        <w:t>%年费率计提。计算方法如下：</w:t>
      </w:r>
    </w:p>
    <w:p w14:paraId="4075FFFE" w14:textId="0304759D" w:rsidR="004E1659" w:rsidRDefault="00F42610">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H＝E×0</w:t>
      </w:r>
      <w:r>
        <w:rPr>
          <w:rFonts w:ascii="宋体" w:hAnsi="宋体"/>
          <w:bCs/>
          <w:sz w:val="24"/>
          <w:szCs w:val="24"/>
        </w:rPr>
        <w:t>.40</w:t>
      </w:r>
      <w:r>
        <w:rPr>
          <w:rFonts w:ascii="宋体" w:hAnsi="宋体" w:hint="eastAsia"/>
          <w:bCs/>
          <w:sz w:val="24"/>
          <w:szCs w:val="24"/>
        </w:rPr>
        <w:t>%÷当年天数</w:t>
      </w:r>
    </w:p>
    <w:p w14:paraId="09EA9057" w14:textId="77777777" w:rsidR="004E1659" w:rsidRDefault="00F42610">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H为C类基金份额每日应计提的销售服务费</w:t>
      </w:r>
    </w:p>
    <w:p w14:paraId="06AFFDA6" w14:textId="77777777" w:rsidR="004E1659" w:rsidRDefault="00F42610">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E为C类基金份额前一日基金资产净值</w:t>
      </w:r>
    </w:p>
    <w:p w14:paraId="28A28AF2" w14:textId="77777777" w:rsidR="004E1659" w:rsidRDefault="00F42610">
      <w:pPr>
        <w:spacing w:line="360" w:lineRule="auto"/>
        <w:ind w:firstLineChars="200" w:firstLine="480"/>
        <w:rPr>
          <w:sz w:val="24"/>
          <w:szCs w:val="24"/>
        </w:rPr>
      </w:pPr>
      <w:r>
        <w:rPr>
          <w:rFonts w:hint="eastAsia"/>
          <w:sz w:val="24"/>
          <w:szCs w:val="24"/>
        </w:rPr>
        <w:t>（四）基金相关账户开户和维护费用、基金的证券、期货、股票期权等投资标的交易结算费用、基金的银行汇划费用、《基金合同》生效后与基金相关的信息披露费用、基金份额持有人大会费用、因投资港股通标的股票而产生的各项合理费用、《基金合同》生效后与基金相关的会计师费、</w:t>
      </w:r>
      <w:r>
        <w:rPr>
          <w:sz w:val="24"/>
          <w:szCs w:val="24"/>
        </w:rPr>
        <w:t>审计费、</w:t>
      </w:r>
      <w:r>
        <w:rPr>
          <w:rFonts w:hint="eastAsia"/>
          <w:sz w:val="24"/>
          <w:szCs w:val="24"/>
        </w:rPr>
        <w:t>律师费、</w:t>
      </w:r>
      <w:r>
        <w:rPr>
          <w:rFonts w:hint="eastAsia"/>
          <w:bCs/>
          <w:sz w:val="24"/>
          <w:szCs w:val="24"/>
        </w:rPr>
        <w:t>诉讼费和仲裁费等费用</w:t>
      </w:r>
      <w:r>
        <w:rPr>
          <w:rFonts w:hint="eastAsia"/>
          <w:sz w:val="24"/>
          <w:szCs w:val="24"/>
        </w:rPr>
        <w:t>根据有关法律法规、《基金合同》及相应协议的规定，列入当期基金费用。</w:t>
      </w:r>
    </w:p>
    <w:p w14:paraId="7EB91DE2" w14:textId="77777777" w:rsidR="004E1659" w:rsidRDefault="00F42610">
      <w:pPr>
        <w:spacing w:line="360" w:lineRule="auto"/>
        <w:ind w:firstLineChars="200" w:firstLine="480"/>
        <w:rPr>
          <w:sz w:val="24"/>
          <w:szCs w:val="24"/>
        </w:rPr>
      </w:pPr>
      <w:r>
        <w:rPr>
          <w:rFonts w:hint="eastAsia"/>
          <w:sz w:val="24"/>
          <w:szCs w:val="24"/>
        </w:rPr>
        <w:t>（五）不列入基金费用的项目</w:t>
      </w:r>
    </w:p>
    <w:p w14:paraId="1EBC5B3E" w14:textId="77777777" w:rsidR="004E1659" w:rsidRDefault="00F42610">
      <w:pPr>
        <w:spacing w:line="360" w:lineRule="auto"/>
        <w:ind w:firstLineChars="200" w:firstLine="480"/>
        <w:rPr>
          <w:sz w:val="24"/>
          <w:szCs w:val="24"/>
        </w:rPr>
      </w:pPr>
      <w:r>
        <w:rPr>
          <w:rFonts w:hint="eastAsia"/>
          <w:sz w:val="24"/>
          <w:szCs w:val="24"/>
        </w:rPr>
        <w:t>《基金合同》生效前的</w:t>
      </w:r>
      <w:r>
        <w:rPr>
          <w:rFonts w:ascii="黑体" w:hAnsi="黑体"/>
          <w:bCs/>
          <w:sz w:val="24"/>
          <w:szCs w:val="24"/>
        </w:rPr>
        <w:t>相关费用</w:t>
      </w:r>
      <w:r>
        <w:rPr>
          <w:rFonts w:hint="eastAsia"/>
          <w:sz w:val="24"/>
          <w:szCs w:val="24"/>
        </w:rPr>
        <w:t>；基金管理人和基金托管人因未履行或未完全履行义务导致的费用支出或基金财产的损失，处理与基金运作无关的事项发生的费用以及其他根据相关法律法规及中国证监会的有关规定不得列入基金费用的项目不列入基金费用。</w:t>
      </w:r>
    </w:p>
    <w:p w14:paraId="3B0521FB" w14:textId="77777777" w:rsidR="004E1659" w:rsidRDefault="00F42610">
      <w:pPr>
        <w:spacing w:line="360" w:lineRule="auto"/>
        <w:ind w:firstLineChars="200" w:firstLine="480"/>
        <w:rPr>
          <w:sz w:val="24"/>
          <w:szCs w:val="24"/>
        </w:rPr>
      </w:pPr>
      <w:r>
        <w:rPr>
          <w:rFonts w:hint="eastAsia"/>
          <w:sz w:val="24"/>
          <w:szCs w:val="24"/>
        </w:rPr>
        <w:lastRenderedPageBreak/>
        <w:t>（六）基金管理费、基金托管费和</w:t>
      </w:r>
      <w:r>
        <w:rPr>
          <w:sz w:val="24"/>
          <w:szCs w:val="24"/>
        </w:rPr>
        <w:t>销售服务费</w:t>
      </w:r>
      <w:r>
        <w:rPr>
          <w:rFonts w:hint="eastAsia"/>
          <w:sz w:val="24"/>
          <w:szCs w:val="24"/>
        </w:rPr>
        <w:t>的复核程序、支付方式和时间</w:t>
      </w:r>
    </w:p>
    <w:p w14:paraId="4EF56676"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1.复核程序</w:t>
      </w:r>
    </w:p>
    <w:p w14:paraId="37689343"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基金托管人对基金管理人计提的基金管理费、基金托管费和</w:t>
      </w:r>
      <w:r>
        <w:rPr>
          <w:rFonts w:ascii="宋体" w:hAnsi="宋体" w:cs="Arial"/>
          <w:sz w:val="24"/>
        </w:rPr>
        <w:t>销售服务费</w:t>
      </w:r>
      <w:r>
        <w:rPr>
          <w:rFonts w:ascii="宋体" w:hAnsi="宋体" w:cs="Arial" w:hint="eastAsia"/>
          <w:sz w:val="24"/>
        </w:rPr>
        <w:t>等，根据本托管协议和《基金合同》的有关规定进行复核。</w:t>
      </w:r>
    </w:p>
    <w:p w14:paraId="41E63560"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2.支付方式和时间</w:t>
      </w:r>
    </w:p>
    <w:p w14:paraId="379A7B04" w14:textId="5D20B7D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固定管理费、基金托管费每日计提，逐日累计至每月月末，按月支付。由基金托管人根据与基金管理人核对一致的财务数据，自动在月初5个工作日内、按照指定的账户路径进行资金支付，基金管理人无需再出具资金划拨指令。若遇法定节假日、休息日或不可抗力等致使无法按时支付的，顺延至最近可支付日支付。费用自动扣划后，基金管理人应进行核对，如发现数据不符，及时联系基金托管人协商解决。</w:t>
      </w:r>
    </w:p>
    <w:p w14:paraId="3C6E2BCF" w14:textId="77777777" w:rsidR="004E1659" w:rsidRDefault="00F42610">
      <w:pPr>
        <w:adjustRightInd w:val="0"/>
        <w:snapToGrid w:val="0"/>
        <w:spacing w:line="360" w:lineRule="auto"/>
        <w:ind w:firstLineChars="200" w:firstLine="480"/>
        <w:rPr>
          <w:rFonts w:ascii="宋体" w:hAnsi="宋体"/>
          <w:sz w:val="24"/>
        </w:rPr>
      </w:pPr>
      <w:r>
        <w:rPr>
          <w:rFonts w:hint="eastAsia"/>
          <w:bCs/>
          <w:sz w:val="24"/>
          <w14:ligatures w14:val="standardContextual"/>
        </w:rPr>
        <w:t>因涉及相关数据，基金管理人的或有管理费和超额管理费的计算和复核工作由基金管理人完成，相关信息以注册登记机构计算结果为准，基金托管人不承担复核责任。对于已经确认为管理人收入的或有管理费和超额管理费，基金托管人根据基金管理人指令支付给基金管理人，</w:t>
      </w:r>
      <w:r>
        <w:rPr>
          <w:rFonts w:ascii="宋体" w:hAnsi="宋体" w:hint="eastAsia"/>
          <w:sz w:val="24"/>
        </w:rPr>
        <w:t>若遇法定节假日、休息日或不可抗力等致使无法按时支付的，顺延至最近可支付日支付。</w:t>
      </w:r>
    </w:p>
    <w:p w14:paraId="6993787E"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销售服务费每日计提。</w:t>
      </w:r>
    </w:p>
    <w:p w14:paraId="598260E0"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（1）基金管理人直销渠道：</w:t>
      </w:r>
    </w:p>
    <w:p w14:paraId="79CB48D0"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对于C类基金份额收取的销售服务费，在投资者赎回基金份额或基金合同终止时，随赎回款或清算款一并返还给投资者。</w:t>
      </w:r>
    </w:p>
    <w:p w14:paraId="06B552CB"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若遇法定节假日、休息日或不可抗力等致使无法按时支付的，顺延至最近可支付日支付。</w:t>
      </w:r>
    </w:p>
    <w:p w14:paraId="7535F9B4"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（2）代销渠道：</w:t>
      </w:r>
    </w:p>
    <w:p w14:paraId="32B964EE" w14:textId="4D1F5B85"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对于投资者持续持有期限未超过一年的C类基金份额收取的销售服务费，</w:t>
      </w:r>
      <w:r>
        <w:rPr>
          <w:rFonts w:ascii="宋体" w:hAnsi="宋体" w:hint="eastAsia"/>
          <w:bCs/>
          <w:sz w:val="24"/>
        </w:rPr>
        <w:t>逐日累计至每月月末，按月支付。</w:t>
      </w:r>
      <w:r>
        <w:rPr>
          <w:rFonts w:ascii="宋体" w:hAnsi="宋体" w:cs="Arial" w:hint="eastAsia"/>
          <w:sz w:val="24"/>
        </w:rPr>
        <w:t>由基金托管人根据与基金管理人核对一致的财务数据，自动在月初5个工作日内、按照指定的账户路径进行资金支付，基金管理人无需再出具资金划拨指令。费用自动扣划后，基金管理人应进行核对，如发现数据不符，及时联系基金托管人协商解决。</w:t>
      </w:r>
    </w:p>
    <w:p w14:paraId="0D61BFBA"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对于持续持有期限超过一年的C类基金份额继续收取的销售服务费，在投资者赎回基金份额或基金合同终止时，随赎回款或清算款一并返还给投资者。</w:t>
      </w:r>
    </w:p>
    <w:p w14:paraId="7A04FE0F"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lastRenderedPageBreak/>
        <w:t>若遇法定节假日、休息日或不可抗力等致使无法按时支付的，顺延至最近可支付日支付。</w:t>
      </w:r>
    </w:p>
    <w:p w14:paraId="2C938E32" w14:textId="6D5EE0DB" w:rsidR="004E1659" w:rsidRDefault="00F42610">
      <w:pPr>
        <w:spacing w:line="360" w:lineRule="auto"/>
        <w:ind w:firstLineChars="200" w:firstLine="480"/>
        <w:rPr>
          <w:rFonts w:ascii="宋体" w:hAnsi="宋体"/>
          <w:bCs/>
          <w:sz w:val="24"/>
          <w:szCs w:val="24"/>
        </w:rPr>
      </w:pPr>
      <w:r>
        <w:rPr>
          <w:rFonts w:ascii="宋体" w:hAnsi="宋体" w:hint="eastAsia"/>
          <w:bCs/>
          <w:sz w:val="24"/>
          <w:szCs w:val="24"/>
        </w:rPr>
        <w:t>因涉及相关数据，基金管理人及代销机构的销售服务费的计算和复核工作由基金管理人完成，相关信息以注册登记机构计算结果为准，基金托管人不承担复核责任。</w:t>
      </w:r>
    </w:p>
    <w:p w14:paraId="586070DE"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在首期支付固定基金管理费、</w:t>
      </w:r>
      <w:r>
        <w:rPr>
          <w:rFonts w:ascii="宋体" w:hAnsi="宋体" w:cs="Arial"/>
          <w:sz w:val="24"/>
        </w:rPr>
        <w:t>销售服务费</w:t>
      </w:r>
      <w:r>
        <w:rPr>
          <w:rFonts w:ascii="宋体" w:hAnsi="宋体" w:cs="Arial" w:hint="eastAsia"/>
          <w:sz w:val="24"/>
        </w:rPr>
        <w:t>前，基金管理人应向基金托管人出具正式函件指定基金管理费、</w:t>
      </w:r>
      <w:r>
        <w:rPr>
          <w:rFonts w:ascii="宋体" w:hAnsi="宋体" w:cs="Arial"/>
          <w:sz w:val="24"/>
        </w:rPr>
        <w:t>销售服务费</w:t>
      </w:r>
      <w:r>
        <w:rPr>
          <w:rFonts w:ascii="宋体" w:hAnsi="宋体" w:cs="Arial" w:hint="eastAsia"/>
          <w:sz w:val="24"/>
        </w:rPr>
        <w:t>的收款账户。基金管理人如需要变更此账户，应提前5个工作日向基金托管人出具书面的收款账户变更通知。</w:t>
      </w:r>
    </w:p>
    <w:p w14:paraId="06D6D54F"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（六）违规处理方式</w:t>
      </w:r>
    </w:p>
    <w:p w14:paraId="7AC1F74F"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7E399A11"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（七）实施侧袋机制期间的基金费用</w:t>
      </w:r>
    </w:p>
    <w:p w14:paraId="02D86E7F"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本基金实施侧袋机制的，与侧袋账户有关的费用可以从侧袋账户中列支，但应待侧袋账户资产变现后方可列支，有关费用可酌情收取或减免，但不得收取基金管理费</w:t>
      </w:r>
      <w:bookmarkStart w:id="112" w:name="_Hlk196392039"/>
      <w:r>
        <w:rPr>
          <w:rFonts w:hint="eastAsia"/>
          <w:bCs/>
          <w:sz w:val="24"/>
        </w:rPr>
        <w:t>（包括固定管理费、或有管理费和超额管理费）</w:t>
      </w:r>
      <w:bookmarkEnd w:id="112"/>
      <w:r>
        <w:rPr>
          <w:rFonts w:ascii="宋体" w:hAnsi="宋体" w:cs="Arial" w:hint="eastAsia"/>
          <w:sz w:val="24"/>
        </w:rPr>
        <w:t>，详见招募说明书的规定</w:t>
      </w:r>
      <w:r>
        <w:rPr>
          <w:rFonts w:ascii="宋体" w:hAnsi="宋体" w:hint="eastAsia"/>
          <w:bCs/>
          <w:sz w:val="24"/>
          <w:szCs w:val="24"/>
        </w:rPr>
        <w:t>或相关公告</w:t>
      </w:r>
      <w:r>
        <w:rPr>
          <w:rFonts w:ascii="宋体" w:hAnsi="宋体" w:cs="Arial" w:hint="eastAsia"/>
          <w:sz w:val="24"/>
        </w:rPr>
        <w:t>。</w:t>
      </w:r>
    </w:p>
    <w:bookmarkEnd w:id="107"/>
    <w:p w14:paraId="4413BC67" w14:textId="77777777" w:rsidR="004E1659" w:rsidRDefault="004E1659">
      <w:pPr>
        <w:adjustRightInd w:val="0"/>
        <w:snapToGrid w:val="0"/>
        <w:spacing w:line="360" w:lineRule="auto"/>
        <w:ind w:firstLineChars="200" w:firstLine="480"/>
        <w:rPr>
          <w:rFonts w:ascii="宋体" w:hAnsi="宋体" w:cs="Arial"/>
          <w:sz w:val="24"/>
        </w:rPr>
      </w:pPr>
    </w:p>
    <w:p w14:paraId="442F9316" w14:textId="77777777" w:rsidR="004E1659" w:rsidRDefault="00F42610">
      <w:pPr>
        <w:pStyle w:val="2"/>
        <w:spacing w:line="360" w:lineRule="auto"/>
        <w:jc w:val="center"/>
        <w:rPr>
          <w:rFonts w:ascii="宋体" w:eastAsia="宋体" w:hAnsi="宋体"/>
          <w:sz w:val="30"/>
        </w:rPr>
      </w:pPr>
      <w:bookmarkStart w:id="113" w:name="_Toc516758906"/>
      <w:r>
        <w:rPr>
          <w:rFonts w:ascii="宋体" w:eastAsia="宋体" w:hAnsi="宋体" w:hint="eastAsia"/>
          <w:sz w:val="30"/>
        </w:rPr>
        <w:t>十二、基金份额持有人名册的保管</w:t>
      </w:r>
      <w:bookmarkEnd w:id="113"/>
    </w:p>
    <w:p w14:paraId="702A9166"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限不低于法律法规的规定。如不能妥善保管，则按相关法规承担责任。</w:t>
      </w:r>
    </w:p>
    <w:p w14:paraId="2C18F12A" w14:textId="77777777" w:rsidR="004E1659" w:rsidRDefault="00F42610">
      <w:pPr>
        <w:adjustRightInd w:val="0"/>
        <w:snapToGrid w:val="0"/>
        <w:spacing w:line="360" w:lineRule="auto"/>
        <w:ind w:firstLineChars="200" w:firstLine="480"/>
        <w:rPr>
          <w:rFonts w:ascii="宋体" w:hAnsi="宋体"/>
          <w:kern w:val="0"/>
          <w:sz w:val="24"/>
        </w:rPr>
      </w:pPr>
      <w:r>
        <w:rPr>
          <w:rFonts w:ascii="宋体" w:hAnsi="宋体" w:cs="Arial" w:hint="eastAsia"/>
          <w:sz w:val="24"/>
        </w:rPr>
        <w:t>在基金托管人要求或编制中期报告和年度报告前，基金管理人应将有关资料送交基金托管人，不得无故拒绝或延误提供，并保证其真实性、准确性和完整性。</w:t>
      </w:r>
      <w:r>
        <w:rPr>
          <w:rFonts w:ascii="宋体" w:hAnsi="宋体" w:hint="eastAsia"/>
          <w:kern w:val="0"/>
          <w:sz w:val="24"/>
        </w:rPr>
        <w:t>基金托管人不得将所保管的基金份额持有人名册用于基金托管业务以外的其他用途，并应遵守保密义务，法律法规另有规定或有关机关另有要求的除外。</w:t>
      </w:r>
    </w:p>
    <w:p w14:paraId="53E89C84" w14:textId="77777777" w:rsidR="004E1659" w:rsidRDefault="004E1659">
      <w:pPr>
        <w:adjustRightInd w:val="0"/>
        <w:snapToGrid w:val="0"/>
        <w:spacing w:line="360" w:lineRule="auto"/>
        <w:ind w:firstLineChars="200" w:firstLine="480"/>
        <w:rPr>
          <w:rFonts w:ascii="宋体" w:hAnsi="宋体" w:cs="Arial"/>
          <w:sz w:val="24"/>
        </w:rPr>
      </w:pPr>
    </w:p>
    <w:p w14:paraId="1DC96001" w14:textId="77777777" w:rsidR="004E1659" w:rsidRDefault="00F42610">
      <w:pPr>
        <w:pStyle w:val="2"/>
        <w:spacing w:line="360" w:lineRule="auto"/>
        <w:jc w:val="center"/>
        <w:rPr>
          <w:rFonts w:ascii="宋体" w:eastAsia="宋体" w:hAnsi="宋体"/>
          <w:sz w:val="30"/>
        </w:rPr>
      </w:pPr>
      <w:bookmarkStart w:id="114" w:name="_Toc516758907"/>
      <w:r>
        <w:rPr>
          <w:rFonts w:ascii="宋体" w:eastAsia="宋体" w:hAnsi="宋体" w:hint="eastAsia"/>
          <w:sz w:val="30"/>
        </w:rPr>
        <w:lastRenderedPageBreak/>
        <w:t>十三、基金有关文件档案的保存</w:t>
      </w:r>
      <w:bookmarkEnd w:id="114"/>
    </w:p>
    <w:p w14:paraId="5174B6FE" w14:textId="77777777" w:rsidR="004E1659" w:rsidRDefault="00F42610">
      <w:pPr>
        <w:spacing w:line="360" w:lineRule="auto"/>
        <w:ind w:firstLineChars="200" w:firstLine="480"/>
        <w:rPr>
          <w:sz w:val="24"/>
          <w:szCs w:val="24"/>
        </w:rPr>
      </w:pPr>
      <w:r>
        <w:rPr>
          <w:rFonts w:hint="eastAsia"/>
          <w:sz w:val="24"/>
          <w:szCs w:val="24"/>
        </w:rPr>
        <w:t>（一）档案保存</w:t>
      </w:r>
    </w:p>
    <w:p w14:paraId="059D03B2"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低于法律法规的规定。</w:t>
      </w:r>
    </w:p>
    <w:p w14:paraId="73A379D6" w14:textId="77777777" w:rsidR="004E1659" w:rsidRDefault="00F42610">
      <w:pPr>
        <w:spacing w:line="360" w:lineRule="auto"/>
        <w:ind w:firstLineChars="200" w:firstLine="480"/>
        <w:rPr>
          <w:sz w:val="24"/>
          <w:szCs w:val="24"/>
        </w:rPr>
      </w:pPr>
      <w:r>
        <w:rPr>
          <w:rFonts w:hint="eastAsia"/>
          <w:sz w:val="24"/>
          <w:szCs w:val="24"/>
        </w:rPr>
        <w:t>（二）合同档案的建立</w:t>
      </w:r>
    </w:p>
    <w:p w14:paraId="6185ED18"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1.基金管理人签署重大合同文本后，应及时将合同文本正本送达基金托管人处。</w:t>
      </w:r>
    </w:p>
    <w:p w14:paraId="69E5905A"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2.基金管理人应及时将与本基金账务处理、资金划拨等有关的合同、协议传真基金托管人。</w:t>
      </w:r>
    </w:p>
    <w:p w14:paraId="26DFB659" w14:textId="77777777" w:rsidR="004E1659" w:rsidRDefault="00F42610">
      <w:pPr>
        <w:spacing w:line="360" w:lineRule="auto"/>
        <w:ind w:firstLineChars="200" w:firstLine="480"/>
        <w:rPr>
          <w:sz w:val="24"/>
          <w:szCs w:val="24"/>
        </w:rPr>
      </w:pPr>
      <w:r>
        <w:rPr>
          <w:rFonts w:hint="eastAsia"/>
          <w:sz w:val="24"/>
          <w:szCs w:val="24"/>
        </w:rPr>
        <w:t>（三）变更与协助</w:t>
      </w:r>
    </w:p>
    <w:p w14:paraId="6F632C27" w14:textId="77777777" w:rsidR="004E1659" w:rsidRDefault="00F42610">
      <w:pPr>
        <w:adjustRightInd w:val="0"/>
        <w:snapToGrid w:val="0"/>
        <w:spacing w:line="360" w:lineRule="auto"/>
        <w:ind w:firstLineChars="200" w:firstLine="480"/>
        <w:rPr>
          <w:rFonts w:ascii="宋体" w:hAnsi="宋体"/>
          <w:b/>
          <w:bCs/>
          <w:sz w:val="30"/>
          <w:szCs w:val="30"/>
        </w:rPr>
      </w:pPr>
      <w:r>
        <w:rPr>
          <w:rFonts w:ascii="宋体" w:hAnsi="宋体" w:cs="Arial" w:hint="eastAsia"/>
          <w:sz w:val="24"/>
        </w:rPr>
        <w:t>若基金管理人/基金托管人发生变更，未变更的一方有义务协助变更后的接任人接收相应文件。</w:t>
      </w:r>
    </w:p>
    <w:p w14:paraId="4AA1BA5F"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（四）基金管理人和基金托管人应按各自职责完整保存原始凭证、记账凭证、基金账册、交易记录和重要合同等，承担保密义务并保存，保存期限不少于法律法规的规定</w:t>
      </w:r>
      <w:r>
        <w:rPr>
          <w:rFonts w:ascii="宋体" w:hAnsi="宋体" w:hint="eastAsia"/>
          <w:kern w:val="0"/>
          <w:sz w:val="24"/>
        </w:rPr>
        <w:t>，法律法规另有规定或有关机关另有要求的除外</w:t>
      </w:r>
      <w:r>
        <w:rPr>
          <w:rFonts w:ascii="宋体" w:hAnsi="宋体" w:cs="Arial" w:hint="eastAsia"/>
          <w:sz w:val="24"/>
        </w:rPr>
        <w:t>。</w:t>
      </w:r>
    </w:p>
    <w:p w14:paraId="39779F0F" w14:textId="77777777" w:rsidR="004E1659" w:rsidRDefault="004E1659">
      <w:pPr>
        <w:adjustRightInd w:val="0"/>
        <w:snapToGrid w:val="0"/>
        <w:spacing w:line="360" w:lineRule="auto"/>
        <w:ind w:firstLineChars="200" w:firstLine="600"/>
        <w:rPr>
          <w:rFonts w:ascii="宋体" w:hAnsi="宋体"/>
          <w:sz w:val="30"/>
          <w:szCs w:val="30"/>
        </w:rPr>
      </w:pPr>
    </w:p>
    <w:p w14:paraId="3D1DE667" w14:textId="77777777" w:rsidR="004E1659" w:rsidRDefault="00F42610">
      <w:pPr>
        <w:pStyle w:val="2"/>
        <w:spacing w:line="360" w:lineRule="auto"/>
        <w:jc w:val="center"/>
        <w:rPr>
          <w:rFonts w:ascii="宋体" w:eastAsia="宋体" w:hAnsi="宋体"/>
          <w:sz w:val="30"/>
        </w:rPr>
      </w:pPr>
      <w:bookmarkStart w:id="115" w:name="_Toc516758908"/>
      <w:r>
        <w:rPr>
          <w:rFonts w:ascii="宋体" w:eastAsia="宋体" w:hAnsi="宋体" w:hint="eastAsia"/>
          <w:sz w:val="30"/>
        </w:rPr>
        <w:t>十四、基金管理人和基金托管人的更换</w:t>
      </w:r>
      <w:bookmarkEnd w:id="115"/>
    </w:p>
    <w:p w14:paraId="3F1CE319"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（一）基金管理人职责终止的情形</w:t>
      </w:r>
    </w:p>
    <w:p w14:paraId="5240FC37"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1.基金管理人职责终止的情形</w:t>
      </w:r>
    </w:p>
    <w:p w14:paraId="2218A46C"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有下列情形之一的，基金管理人职责终止：</w:t>
      </w:r>
    </w:p>
    <w:p w14:paraId="26687FEE"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（1）被依法取消基金管理资格；</w:t>
      </w:r>
    </w:p>
    <w:p w14:paraId="120085E3"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（2）被基金份额持有人大会解任；</w:t>
      </w:r>
    </w:p>
    <w:p w14:paraId="391D0053"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（3）依法解散、被依法撤销或被依法宣告破产；</w:t>
      </w:r>
    </w:p>
    <w:p w14:paraId="28A24619"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（4）法律法规及中国证监会规定的和基金合同约定的其他情形。</w:t>
      </w:r>
    </w:p>
    <w:p w14:paraId="7467EDAB"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2.基金管理人的更换程序</w:t>
      </w:r>
    </w:p>
    <w:p w14:paraId="5215A8FD"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lastRenderedPageBreak/>
        <w:t>更换基金管理人必须依照如下程序进行：</w:t>
      </w:r>
    </w:p>
    <w:p w14:paraId="2400D318"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（1）提名：新任基金管理人由基金托管人或由单独或合计持有10%以上（含10%）基金份额的基金份额持有人提名；</w:t>
      </w:r>
    </w:p>
    <w:p w14:paraId="4EAF09BF"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14:paraId="2C15CFE9"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（3）临时基金管理人：新任基金管理人产生之前，由中国证监会指定临时基金管理人；</w:t>
      </w:r>
    </w:p>
    <w:p w14:paraId="5BD5EA38"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（4）备案：基金份额持有人大会更换基金管理人的决议须报中国证监会备案；</w:t>
      </w:r>
    </w:p>
    <w:p w14:paraId="3887589C"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（5）公告：基金管理人更换后，由基金托管人在更换基金管理人的基金份额持有人大会决议生效后依照《信息披露办法》的有关规定在规定媒介公告；</w:t>
      </w:r>
    </w:p>
    <w:p w14:paraId="3B5F3296"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和净值；</w:t>
      </w:r>
    </w:p>
    <w:p w14:paraId="4E247D22"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7）审计：基金管理人职责终止的，应当按照法律法规规定聘请符合《中华人民共和国证券法》规定的会计师事务所对基金财产进行审计，并将审计结果予以公告，同时报中国证监会备案；审计费用由基金资产承担；</w:t>
      </w:r>
    </w:p>
    <w:p w14:paraId="68E1569E"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（8）基金名称变更：基金管理人更换后，如果原任或新任基金管理人要求，应按其要求替换或删除基金名称中与原任基金管理人有关的名称字样。</w:t>
      </w:r>
    </w:p>
    <w:p w14:paraId="27C4E05D"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（二）基金托管人职责终止的情形</w:t>
      </w:r>
    </w:p>
    <w:p w14:paraId="46E01804"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1.基金托管人职责终止的情形</w:t>
      </w:r>
    </w:p>
    <w:p w14:paraId="1E062F31"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有下列情形之一的，基金托管人职责终止：</w:t>
      </w:r>
    </w:p>
    <w:p w14:paraId="6E4D2731"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（1）被依法取消基金托管资格；</w:t>
      </w:r>
    </w:p>
    <w:p w14:paraId="20E56C14"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（2）被基金份额持有人大会解任；</w:t>
      </w:r>
    </w:p>
    <w:p w14:paraId="1C6FF6B0"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（3）依法解散、被依法撤销或被依法宣告破产；</w:t>
      </w:r>
    </w:p>
    <w:p w14:paraId="0E5772FD"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（4）法律法规及中国证监会规定的和基金合同约定的其他情形。</w:t>
      </w:r>
    </w:p>
    <w:p w14:paraId="4BE31E77"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2.基金托管人的更换程序</w:t>
      </w:r>
    </w:p>
    <w:p w14:paraId="63148ACD"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（1）提名：新任基金托管人由基金管理人或由单独或合计持有10%以上（含10%）基金份额的基金份额持有人提名；</w:t>
      </w:r>
    </w:p>
    <w:p w14:paraId="261DD6EE"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lastRenderedPageBreak/>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14:paraId="61CB36FC"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（3）临时基金托管人：新任基金托管人产生之前，由中国证监会指定临时基金托管人；</w:t>
      </w:r>
    </w:p>
    <w:p w14:paraId="4C09492C"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（4）备案：基金份额持有人大会更换基金托管人的决议须报中国证监会备案；</w:t>
      </w:r>
    </w:p>
    <w:p w14:paraId="1B48FED8"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（5）公告：基金托管人更换后，由基金管理人在更换基金托管人的基金份额持有人大会决议生效后依照《信息披露办法》的有关规定在规定媒介公告；</w:t>
      </w:r>
    </w:p>
    <w:p w14:paraId="5A65607C"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6）交接：基金托管人职责终止的，应当妥善保管基金财产和基金托管业务资料，及时办理基金财产和基金托管业务的移交手续，新任基金托管人或者临时基金托管人应当及时接收。临时基金托管人或新任基金托管人应与基金管理人核对基金资产总值和净值；</w:t>
      </w:r>
    </w:p>
    <w:p w14:paraId="7E3361D7"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7）审计：基金托管人职责终止的，应当按照法律法规规定聘请符合《中华人民共和国证券法》规定的会计师事务所对基金财产进行审计，并将审计结果予以公告，同时报中国证监会备案；审计费用由基金资产承担。</w:t>
      </w:r>
    </w:p>
    <w:p w14:paraId="143D6B6C"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（三）基金管理人与基金托管人同时更换的条件和程序</w:t>
      </w:r>
    </w:p>
    <w:p w14:paraId="134EBA85"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1.提名：如果基金管理人和基金托管人同时更换，由单独或合计持有基金总份额10%以上（含10%）的基金份额持有人提名新任基金管理人和基金托管人；</w:t>
      </w:r>
    </w:p>
    <w:p w14:paraId="4E564134"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2.基金管理人和基金托管人的更换分别按上述程序进行；</w:t>
      </w:r>
    </w:p>
    <w:p w14:paraId="5E104D44"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3.公告：新任基金管理人和新任基金托管人应在更换基金管理人和基金托管人的基金份额持有人大会决议生效后依照《信息披露办法》的有关规定在规定媒介上联合公告。</w:t>
      </w:r>
    </w:p>
    <w:p w14:paraId="327120B1"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四）新任或临时基金管理人接收基金管理业务或新任或临时基金托管人接收基金财产和基金托管业务前，原任基金管理人或原任基金托管人应依据法律法规和基金合同的规定继续履行相关职责，并保证不做出对基金份额持有人的利益造成损害的行为。原任基金管理人或原任基金托管人在继续履行相关职责期间，仍有权按照基金合同的规定收取基金管理费</w:t>
      </w:r>
      <w:r>
        <w:rPr>
          <w:rFonts w:hint="eastAsia"/>
          <w:bCs/>
          <w:sz w:val="24"/>
        </w:rPr>
        <w:t>（包括固定管理费、或有管理费和超额管理费）</w:t>
      </w:r>
      <w:r>
        <w:rPr>
          <w:rFonts w:ascii="宋体" w:hAnsi="宋体" w:cs="Arial" w:hint="eastAsia"/>
          <w:sz w:val="24"/>
        </w:rPr>
        <w:t>或基金托管费。</w:t>
      </w:r>
    </w:p>
    <w:p w14:paraId="38FFEADC" w14:textId="77777777" w:rsidR="004E1659" w:rsidRDefault="004E1659">
      <w:pPr>
        <w:adjustRightInd w:val="0"/>
        <w:snapToGrid w:val="0"/>
        <w:spacing w:line="360" w:lineRule="auto"/>
        <w:ind w:firstLineChars="200" w:firstLine="480"/>
        <w:rPr>
          <w:rFonts w:ascii="宋体" w:hAnsi="宋体" w:cs="Arial"/>
          <w:sz w:val="24"/>
        </w:rPr>
      </w:pPr>
    </w:p>
    <w:p w14:paraId="4CE1DB7A" w14:textId="77777777" w:rsidR="004E1659" w:rsidRDefault="00F42610">
      <w:pPr>
        <w:pStyle w:val="2"/>
        <w:spacing w:line="360" w:lineRule="auto"/>
        <w:jc w:val="center"/>
        <w:rPr>
          <w:rFonts w:ascii="宋体" w:eastAsia="宋体" w:hAnsi="宋体"/>
          <w:sz w:val="30"/>
        </w:rPr>
      </w:pPr>
      <w:bookmarkStart w:id="116" w:name="_Toc516758909"/>
      <w:r>
        <w:rPr>
          <w:rFonts w:ascii="宋体" w:eastAsia="宋体" w:hAnsi="宋体" w:hint="eastAsia"/>
          <w:sz w:val="30"/>
        </w:rPr>
        <w:lastRenderedPageBreak/>
        <w:t>十五、禁止行为</w:t>
      </w:r>
      <w:bookmarkEnd w:id="116"/>
    </w:p>
    <w:p w14:paraId="0FADC432" w14:textId="77777777" w:rsidR="004E1659" w:rsidRDefault="00F42610">
      <w:pPr>
        <w:spacing w:line="360" w:lineRule="auto"/>
        <w:ind w:firstLineChars="200" w:firstLine="480"/>
        <w:rPr>
          <w:rFonts w:ascii="宋体" w:hAnsi="宋体"/>
          <w:sz w:val="24"/>
          <w:szCs w:val="24"/>
        </w:rPr>
      </w:pPr>
      <w:r>
        <w:rPr>
          <w:rFonts w:ascii="宋体" w:hAnsi="宋体" w:hint="eastAsia"/>
          <w:sz w:val="24"/>
          <w:szCs w:val="24"/>
        </w:rPr>
        <w:t>本协议当事人禁止从事的行为，包括但不限于：</w:t>
      </w:r>
    </w:p>
    <w:p w14:paraId="184C62B8" w14:textId="77777777" w:rsidR="004E1659" w:rsidRDefault="00F42610">
      <w:pPr>
        <w:spacing w:line="360" w:lineRule="auto"/>
        <w:ind w:firstLineChars="200" w:firstLine="480"/>
        <w:rPr>
          <w:rFonts w:ascii="宋体" w:hAnsi="宋体"/>
          <w:sz w:val="24"/>
          <w:szCs w:val="24"/>
        </w:rPr>
      </w:pPr>
      <w:r>
        <w:rPr>
          <w:rFonts w:ascii="宋体" w:hAnsi="宋体" w:hint="eastAsia"/>
          <w:sz w:val="24"/>
          <w:szCs w:val="24"/>
        </w:rPr>
        <w:t>（一）基金管理人、基金托管人将其固有财产或者他人财产混同于基金财产从事证券投资。</w:t>
      </w:r>
    </w:p>
    <w:p w14:paraId="4573FB4B" w14:textId="77777777" w:rsidR="004E1659" w:rsidRDefault="00F42610">
      <w:pPr>
        <w:spacing w:line="360" w:lineRule="auto"/>
        <w:ind w:firstLineChars="200" w:firstLine="480"/>
        <w:rPr>
          <w:rFonts w:ascii="宋体" w:hAnsi="宋体"/>
          <w:sz w:val="24"/>
          <w:szCs w:val="24"/>
        </w:rPr>
      </w:pPr>
      <w:r>
        <w:rPr>
          <w:rFonts w:ascii="宋体" w:hAnsi="宋体" w:hint="eastAsia"/>
          <w:sz w:val="24"/>
          <w:szCs w:val="24"/>
        </w:rPr>
        <w:t>（二）基金管理人不公平地对待其管理的不同基金财产，基金托管人不公平地对待其托管的不同基金财产。</w:t>
      </w:r>
    </w:p>
    <w:p w14:paraId="0D7C4CE8" w14:textId="77777777" w:rsidR="004E1659" w:rsidRDefault="00F42610">
      <w:pPr>
        <w:spacing w:line="360" w:lineRule="auto"/>
        <w:ind w:firstLineChars="200" w:firstLine="480"/>
        <w:rPr>
          <w:rFonts w:ascii="宋体" w:hAnsi="宋体"/>
          <w:sz w:val="24"/>
          <w:szCs w:val="24"/>
        </w:rPr>
      </w:pPr>
      <w:r>
        <w:rPr>
          <w:rFonts w:ascii="宋体" w:hAnsi="宋体" w:hint="eastAsia"/>
          <w:sz w:val="24"/>
          <w:szCs w:val="24"/>
        </w:rPr>
        <w:t>（三）基金管理人、基金托管人利用基金财产或职务之便为基金份额持有人以外的人牟取利益。</w:t>
      </w:r>
    </w:p>
    <w:p w14:paraId="749F1FE4" w14:textId="77777777" w:rsidR="004E1659" w:rsidRDefault="00F42610">
      <w:pPr>
        <w:spacing w:line="360" w:lineRule="auto"/>
        <w:ind w:firstLineChars="200" w:firstLine="480"/>
        <w:rPr>
          <w:rFonts w:ascii="宋体" w:hAnsi="宋体"/>
          <w:sz w:val="24"/>
          <w:szCs w:val="24"/>
        </w:rPr>
      </w:pPr>
      <w:r>
        <w:rPr>
          <w:rFonts w:ascii="宋体" w:hAnsi="宋体" w:hint="eastAsia"/>
          <w:sz w:val="24"/>
          <w:szCs w:val="24"/>
        </w:rPr>
        <w:t>（四）基金管理人、基金托管人向基金份额持有人违规承诺收益或者承担损失。</w:t>
      </w:r>
    </w:p>
    <w:p w14:paraId="17977633" w14:textId="77777777" w:rsidR="004E1659" w:rsidRDefault="00F42610">
      <w:pPr>
        <w:spacing w:line="360" w:lineRule="auto"/>
        <w:ind w:firstLineChars="200" w:firstLine="480"/>
        <w:rPr>
          <w:rFonts w:ascii="宋体" w:hAnsi="宋体"/>
          <w:sz w:val="24"/>
          <w:szCs w:val="24"/>
        </w:rPr>
      </w:pPr>
      <w:r>
        <w:rPr>
          <w:rFonts w:ascii="宋体" w:hAnsi="宋体" w:hint="eastAsia"/>
          <w:sz w:val="24"/>
          <w:szCs w:val="24"/>
        </w:rPr>
        <w:t>（五）基金管理人、基金托管人对他人泄露基金运作和管理过程中任何尚未按法律法规规定的方式公开披露的信息。</w:t>
      </w:r>
    </w:p>
    <w:p w14:paraId="289E4C7C" w14:textId="77777777" w:rsidR="004E1659" w:rsidRDefault="00F42610">
      <w:pPr>
        <w:spacing w:line="360" w:lineRule="auto"/>
        <w:ind w:firstLineChars="200" w:firstLine="480"/>
        <w:rPr>
          <w:rFonts w:ascii="宋体" w:hAnsi="宋体"/>
          <w:sz w:val="24"/>
          <w:szCs w:val="24"/>
        </w:rPr>
      </w:pPr>
      <w:r>
        <w:rPr>
          <w:rFonts w:ascii="宋体" w:hAnsi="宋体" w:hint="eastAsia"/>
          <w:sz w:val="24"/>
          <w:szCs w:val="24"/>
        </w:rPr>
        <w:t>（六）基金管理人在没有充足资金的情况下向基金托管人发出投资指令和赎回、分红资金的划拨指令，或违规向基金托管人发出指令。</w:t>
      </w:r>
    </w:p>
    <w:p w14:paraId="5BE8EF3C" w14:textId="77777777" w:rsidR="004E1659" w:rsidRDefault="00F42610">
      <w:pPr>
        <w:spacing w:line="360" w:lineRule="auto"/>
        <w:ind w:firstLineChars="200" w:firstLine="480"/>
        <w:rPr>
          <w:rFonts w:ascii="宋体" w:hAnsi="宋体"/>
          <w:sz w:val="24"/>
          <w:szCs w:val="24"/>
        </w:rPr>
      </w:pPr>
      <w:r>
        <w:rPr>
          <w:rFonts w:ascii="宋体" w:hAnsi="宋体" w:hint="eastAsia"/>
          <w:sz w:val="24"/>
          <w:szCs w:val="24"/>
        </w:rPr>
        <w:t>（七）基金管理人、基金托管人在行政上、财务上不独立，其高级管理人员和其他从业人员相互兼职。</w:t>
      </w:r>
    </w:p>
    <w:p w14:paraId="122EC7DC" w14:textId="77777777" w:rsidR="004E1659" w:rsidRDefault="00F42610">
      <w:pPr>
        <w:spacing w:line="360" w:lineRule="auto"/>
        <w:ind w:firstLineChars="200" w:firstLine="480"/>
        <w:rPr>
          <w:rFonts w:ascii="宋体" w:hAnsi="宋体"/>
          <w:sz w:val="24"/>
          <w:szCs w:val="24"/>
        </w:rPr>
      </w:pPr>
      <w:r>
        <w:rPr>
          <w:rFonts w:ascii="宋体" w:hAnsi="宋体" w:hint="eastAsia"/>
          <w:sz w:val="24"/>
          <w:szCs w:val="24"/>
        </w:rPr>
        <w:t>（八）基金托管人私自动用或处分基金财产，根据基金管理人的合法指令、《基金合同》或托管协议的规定进行处分的除外。</w:t>
      </w:r>
    </w:p>
    <w:p w14:paraId="27B60E74" w14:textId="44B85D1B" w:rsidR="004E1659" w:rsidRDefault="00F42610">
      <w:pPr>
        <w:spacing w:line="360" w:lineRule="auto"/>
        <w:ind w:firstLineChars="200" w:firstLine="480"/>
        <w:rPr>
          <w:rFonts w:ascii="宋体" w:hAnsi="宋体"/>
          <w:sz w:val="24"/>
          <w:szCs w:val="24"/>
        </w:rPr>
      </w:pPr>
      <w:r>
        <w:rPr>
          <w:rFonts w:ascii="宋体" w:hAnsi="宋体" w:hint="eastAsia"/>
          <w:sz w:val="24"/>
          <w:szCs w:val="24"/>
        </w:rPr>
        <w:t>（九）基金财产用于下列投资或者活动：1.承销证券；2.违反规定向他人贷款或者提供担保；3.从事承担无限责任的投资；4.买卖其他基金份额，但是中国证监会另有规定的除外；5.向其基金管理人、基金托管人出资；6.从事内幕交易、操纵证券交易价格及其他不正当的证券交易活动；7.法律、行政法规和中国证监会规定禁止的其他活动。法律、</w:t>
      </w:r>
      <w:r>
        <w:rPr>
          <w:rFonts w:ascii="宋体" w:hAnsi="宋体"/>
          <w:sz w:val="24"/>
          <w:szCs w:val="24"/>
        </w:rPr>
        <w:t>行政</w:t>
      </w:r>
      <w:r>
        <w:rPr>
          <w:rFonts w:ascii="宋体" w:hAnsi="宋体" w:hint="eastAsia"/>
          <w:sz w:val="24"/>
          <w:szCs w:val="24"/>
        </w:rPr>
        <w:t>法规或监管部门取消或变更上述限制，如适用于本基金，基金管理人在履行适当程序后，则本基金投资不再受相关限制或按</w:t>
      </w:r>
      <w:r>
        <w:rPr>
          <w:rFonts w:ascii="宋体" w:hAnsi="宋体"/>
          <w:sz w:val="24"/>
          <w:szCs w:val="24"/>
        </w:rPr>
        <w:t>变更后的规定</w:t>
      </w:r>
      <w:r>
        <w:rPr>
          <w:rFonts w:ascii="宋体" w:hAnsi="宋体" w:hint="eastAsia"/>
          <w:sz w:val="24"/>
          <w:szCs w:val="24"/>
        </w:rPr>
        <w:t>执行。</w:t>
      </w:r>
    </w:p>
    <w:p w14:paraId="0E552F37" w14:textId="77777777" w:rsidR="004E1659" w:rsidRDefault="00F42610">
      <w:pPr>
        <w:spacing w:line="360" w:lineRule="auto"/>
        <w:ind w:firstLineChars="200" w:firstLine="480"/>
        <w:rPr>
          <w:rFonts w:ascii="宋体" w:hAnsi="宋体"/>
          <w:sz w:val="24"/>
          <w:szCs w:val="24"/>
        </w:rPr>
      </w:pPr>
      <w:r>
        <w:rPr>
          <w:rFonts w:ascii="宋体" w:hAnsi="宋体" w:hint="eastAsia"/>
          <w:sz w:val="24"/>
          <w:szCs w:val="24"/>
        </w:rPr>
        <w:t>（十）法律法规和《基金合同》禁止的其他行为，以及法律、行政法规和中国证监会规定禁止基金管理人、基金托管人从事的其他行为。</w:t>
      </w:r>
    </w:p>
    <w:p w14:paraId="750117DC" w14:textId="77777777" w:rsidR="004E1659" w:rsidRDefault="004E1659">
      <w:pPr>
        <w:rPr>
          <w:rFonts w:ascii="宋体" w:hAnsi="宋体"/>
          <w:sz w:val="24"/>
          <w:szCs w:val="24"/>
        </w:rPr>
      </w:pPr>
    </w:p>
    <w:p w14:paraId="45FD4CAE" w14:textId="77777777" w:rsidR="004E1659" w:rsidRDefault="00F42610">
      <w:pPr>
        <w:pStyle w:val="2"/>
        <w:spacing w:line="360" w:lineRule="auto"/>
        <w:jc w:val="center"/>
        <w:rPr>
          <w:rFonts w:ascii="宋体" w:eastAsia="宋体" w:hAnsi="宋体"/>
          <w:sz w:val="30"/>
        </w:rPr>
      </w:pPr>
      <w:bookmarkStart w:id="117" w:name="_Toc516758910"/>
      <w:r>
        <w:rPr>
          <w:rFonts w:ascii="宋体" w:eastAsia="宋体" w:hAnsi="宋体" w:hint="eastAsia"/>
          <w:sz w:val="30"/>
        </w:rPr>
        <w:lastRenderedPageBreak/>
        <w:t>十六、托管协议的变更、终止与基金财产的清算</w:t>
      </w:r>
      <w:bookmarkEnd w:id="117"/>
    </w:p>
    <w:p w14:paraId="21738F7F"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（一）托管协议的变更程序</w:t>
      </w:r>
    </w:p>
    <w:p w14:paraId="6954BE45" w14:textId="77777777" w:rsidR="004E1659" w:rsidRDefault="00F42610">
      <w:pPr>
        <w:adjustRightInd w:val="0"/>
        <w:snapToGrid w:val="0"/>
        <w:spacing w:line="360" w:lineRule="auto"/>
        <w:ind w:firstLineChars="200" w:firstLine="480"/>
        <w:rPr>
          <w:rFonts w:ascii="宋体" w:hAnsi="宋体"/>
          <w:sz w:val="30"/>
          <w:szCs w:val="30"/>
        </w:rPr>
      </w:pPr>
      <w:r>
        <w:rPr>
          <w:rFonts w:ascii="宋体" w:hAnsi="宋体" w:cs="Arial" w:hint="eastAsia"/>
          <w:sz w:val="24"/>
        </w:rPr>
        <w:t>本协议双方当事人经协商一致，可以对协议进行修改。修改后的新协议，其内容不得与《基金合同》的规定有任何冲突。</w:t>
      </w:r>
    </w:p>
    <w:p w14:paraId="731453AD"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（二）托管协议终止的情形</w:t>
      </w:r>
    </w:p>
    <w:p w14:paraId="6DDB024A"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1.《基金合同》终止；</w:t>
      </w:r>
    </w:p>
    <w:p w14:paraId="05F3C733"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2.基金托管人解散、依法被撤销、破产或由其他基金托管人接管基金资产；</w:t>
      </w:r>
    </w:p>
    <w:p w14:paraId="742D9BCF"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3.基金管理人解散、依法被撤销、破产或由其他基金管理人接管基金管理权；</w:t>
      </w:r>
    </w:p>
    <w:p w14:paraId="14BF3B74"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4.发生法律法规或《基金合同》规定的终止事项。</w:t>
      </w:r>
    </w:p>
    <w:p w14:paraId="0758904F" w14:textId="77777777" w:rsidR="004E1659" w:rsidRDefault="00F42610">
      <w:pPr>
        <w:adjustRightInd w:val="0"/>
        <w:snapToGrid w:val="0"/>
        <w:spacing w:line="360" w:lineRule="auto"/>
        <w:ind w:firstLineChars="200" w:firstLine="480"/>
        <w:rPr>
          <w:rFonts w:ascii="宋体" w:hAnsi="宋体" w:cs="Arial"/>
          <w:sz w:val="24"/>
        </w:rPr>
      </w:pPr>
      <w:bookmarkStart w:id="118" w:name="_Hlk172127781"/>
      <w:r>
        <w:rPr>
          <w:rFonts w:ascii="宋体" w:hAnsi="宋体" w:cs="Arial" w:hint="eastAsia"/>
          <w:sz w:val="24"/>
        </w:rPr>
        <w:t>（三）基金财产的清算</w:t>
      </w:r>
    </w:p>
    <w:p w14:paraId="6BA4DEE5"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1.基金财产清算小组：基金合同终止事由出现后，基金管理人组织基金财产清算小组并在中国证监会的监督下进行基金清算。</w:t>
      </w:r>
    </w:p>
    <w:p w14:paraId="2F07D9E0"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14:paraId="5B3E2264"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3.基金财产清算小组职责：基金财产清算小组负责基金财产的保管、清理、估价、变现和分配。基金财产清算小组可以依法进行必要的民事活动。</w:t>
      </w:r>
    </w:p>
    <w:p w14:paraId="79BA431F"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4.基金财产清算程序：</w:t>
      </w:r>
    </w:p>
    <w:p w14:paraId="79ADF292"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（1）基金合同终止情形出现时，由基金财产清算小组统一接管基金财产；</w:t>
      </w:r>
    </w:p>
    <w:p w14:paraId="213FC40D"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（2）对基金财产和债权债务进行清理和确认；</w:t>
      </w:r>
    </w:p>
    <w:p w14:paraId="2650E7B0"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（3）对基金财产进行估值和变现；</w:t>
      </w:r>
    </w:p>
    <w:p w14:paraId="08D510ED"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（4）制作清算报告；</w:t>
      </w:r>
    </w:p>
    <w:p w14:paraId="70F6FA3C"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（5）聘请会计师事务所对清算报告进行外部审计，聘请律师事务所对清算报告出具法律意见书；</w:t>
      </w:r>
    </w:p>
    <w:p w14:paraId="4DEABB18"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（6）将清算报告报中国证监会备案并公告；</w:t>
      </w:r>
    </w:p>
    <w:p w14:paraId="411865C1"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（7）对基金剩余财产进行分配。</w:t>
      </w:r>
    </w:p>
    <w:p w14:paraId="60047561"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5.基金财产清算的期限为6个月，但因本基金所持证券的流动性受到限制而不能及时变现的，清算期限相应顺延。</w:t>
      </w:r>
    </w:p>
    <w:p w14:paraId="2617E308"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6</w:t>
      </w:r>
      <w:r>
        <w:rPr>
          <w:rFonts w:ascii="宋体" w:hAnsi="宋体" w:cs="Arial"/>
          <w:sz w:val="24"/>
        </w:rPr>
        <w:t>.</w:t>
      </w:r>
      <w:r>
        <w:rPr>
          <w:rFonts w:ascii="宋体" w:hAnsi="宋体" w:cs="Arial" w:hint="eastAsia"/>
          <w:sz w:val="24"/>
        </w:rPr>
        <w:t>清算费用</w:t>
      </w:r>
    </w:p>
    <w:p w14:paraId="7D6D66BF"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lastRenderedPageBreak/>
        <w:t>清算费用是指基金财产清算小组在进行基金清算过程中发生的所有合理费用，清算费用由基金财产清算小组优先从基金剩余财产中支付。</w:t>
      </w:r>
    </w:p>
    <w:p w14:paraId="690B9A1B"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7</w:t>
      </w:r>
      <w:r>
        <w:rPr>
          <w:rFonts w:ascii="宋体" w:hAnsi="宋体" w:cs="Arial"/>
          <w:sz w:val="24"/>
        </w:rPr>
        <w:t>.</w:t>
      </w:r>
      <w:r>
        <w:rPr>
          <w:rFonts w:ascii="宋体" w:hAnsi="宋体" w:cs="Arial" w:hint="eastAsia"/>
          <w:sz w:val="24"/>
        </w:rPr>
        <w:t>基金财产清算剩余资产的分配</w:t>
      </w:r>
    </w:p>
    <w:p w14:paraId="7D23ED39" w14:textId="6FD8BEAE"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依据基金财产清算的分配方案，将基金财产清算后的全部剩余资产扣除基金财产清算费用、交纳所欠税款并清偿基金债务后，按基金份额持有人持有的各类基金份额比例进行分配，并加上或扣除相应的或有管理费或超额管理费（如有）。</w:t>
      </w:r>
    </w:p>
    <w:p w14:paraId="6650A7BB"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其中，对于投资人通过直销机构认购、申购的或者通过代销机构认购、申购且持续持有期限超过一年的C类基金份额，计提的销售服务费将在基金合同终止时随剩余资产分配款项一并返还给投资人。</w:t>
      </w:r>
    </w:p>
    <w:p w14:paraId="3F3F8CDF"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8</w:t>
      </w:r>
      <w:r>
        <w:rPr>
          <w:rFonts w:ascii="宋体" w:hAnsi="宋体" w:cs="Arial"/>
          <w:sz w:val="24"/>
        </w:rPr>
        <w:t>.</w:t>
      </w:r>
      <w:r>
        <w:rPr>
          <w:rFonts w:ascii="宋体" w:hAnsi="宋体" w:cs="Arial" w:hint="eastAsia"/>
          <w:sz w:val="24"/>
        </w:rPr>
        <w:t>基金财产清算的公告</w:t>
      </w:r>
    </w:p>
    <w:p w14:paraId="040C1BFC"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清算过程中的有关重大事项须及时公告；基金财产清算报告经符合《中华人民共和国证券法》规定的会计师事务所审计，律师事务所出具法律意见书后，由基金财产清算小组报中国证监会备案并公告，基金财产清算小组应当将清算报告登载在规定网站上，并将清算报告提示性公告登载在规定报刊上。</w:t>
      </w:r>
    </w:p>
    <w:p w14:paraId="5F9A4546"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9</w:t>
      </w:r>
      <w:r>
        <w:rPr>
          <w:rFonts w:ascii="宋体" w:hAnsi="宋体" w:cs="Arial"/>
          <w:sz w:val="24"/>
        </w:rPr>
        <w:t>.</w:t>
      </w:r>
      <w:r>
        <w:rPr>
          <w:rFonts w:ascii="宋体" w:hAnsi="宋体" w:cs="Arial" w:hint="eastAsia"/>
          <w:sz w:val="24"/>
        </w:rPr>
        <w:t>基金财产清算账册及文件的保存</w:t>
      </w:r>
    </w:p>
    <w:p w14:paraId="3C606725"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基金财产清算账册及有关文件由基金托管人保存，保存期限不少于法律法规的规定。</w:t>
      </w:r>
    </w:p>
    <w:bookmarkEnd w:id="118"/>
    <w:p w14:paraId="5961D2AD" w14:textId="77777777" w:rsidR="004E1659" w:rsidRDefault="004E1659">
      <w:pPr>
        <w:adjustRightInd w:val="0"/>
        <w:snapToGrid w:val="0"/>
        <w:spacing w:line="360" w:lineRule="auto"/>
        <w:rPr>
          <w:rFonts w:ascii="宋体" w:hAnsi="宋体" w:cs="Arial"/>
          <w:sz w:val="24"/>
        </w:rPr>
      </w:pPr>
    </w:p>
    <w:p w14:paraId="18DC27B1" w14:textId="77777777" w:rsidR="004E1659" w:rsidRDefault="00F42610">
      <w:pPr>
        <w:pStyle w:val="2"/>
        <w:spacing w:line="360" w:lineRule="auto"/>
        <w:jc w:val="center"/>
        <w:rPr>
          <w:rFonts w:ascii="宋体" w:eastAsia="宋体" w:hAnsi="宋体"/>
          <w:sz w:val="30"/>
        </w:rPr>
      </w:pPr>
      <w:bookmarkStart w:id="119" w:name="_Toc516758911"/>
      <w:r>
        <w:rPr>
          <w:rFonts w:ascii="宋体" w:eastAsia="宋体" w:hAnsi="宋体" w:hint="eastAsia"/>
          <w:sz w:val="30"/>
        </w:rPr>
        <w:t>十七、违约责任</w:t>
      </w:r>
      <w:bookmarkEnd w:id="119"/>
    </w:p>
    <w:p w14:paraId="50EB79E8" w14:textId="77777777" w:rsidR="004E1659" w:rsidRDefault="00F4261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（一）基金管理人、基金托管人不履行本协议或履行本协议不符合约定的，应当承担违约责任。</w:t>
      </w:r>
    </w:p>
    <w:p w14:paraId="74B0937E" w14:textId="77777777" w:rsidR="004E1659" w:rsidRDefault="00F4261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二）基金管理人、基金托管人在履行各自职责的过程中，违反《基金法》等法律法规的规定或者《基金合同》和本托管协议约定，给基金财产或者基金份额持有人造成损害的，应当分别对各自的行为依法承担赔偿责任；因共同行为给基金财产或者基金份额持有人造成损害的，应当承担连带赔偿责任。对损失的赔偿，仅限于直接损失。</w:t>
      </w:r>
    </w:p>
    <w:p w14:paraId="35173D4A" w14:textId="77777777" w:rsidR="004E1659" w:rsidRDefault="00F42610">
      <w:pPr>
        <w:spacing w:line="360" w:lineRule="auto"/>
        <w:ind w:firstLineChars="200" w:firstLine="480"/>
        <w:rPr>
          <w:rFonts w:asciiTheme="minorEastAsia" w:eastAsiaTheme="minorEastAsia" w:hAnsiTheme="minorEastAsia"/>
          <w:sz w:val="24"/>
          <w:szCs w:val="24"/>
        </w:rPr>
      </w:pPr>
      <w:bookmarkStart w:id="120" w:name="_Hlk212196090"/>
      <w:r>
        <w:rPr>
          <w:rFonts w:asciiTheme="minorEastAsia" w:eastAsiaTheme="minorEastAsia" w:hAnsiTheme="minorEastAsia" w:hint="eastAsia"/>
          <w:sz w:val="24"/>
          <w:szCs w:val="24"/>
        </w:rPr>
        <w:t>（三）一方当事人违约，给另一方当事人造成损失的，应就直接损失进行赔偿；给基金财产造成损失的，应就直接损失进行赔偿，另一方当事人有权利及义</w:t>
      </w:r>
      <w:r>
        <w:rPr>
          <w:rFonts w:asciiTheme="minorEastAsia" w:eastAsiaTheme="minorEastAsia" w:hAnsiTheme="minorEastAsia" w:hint="eastAsia"/>
          <w:sz w:val="24"/>
          <w:szCs w:val="24"/>
        </w:rPr>
        <w:lastRenderedPageBreak/>
        <w:t>务代表基金向违约方追偿。但是如发生下列情况，当事人免责：</w:t>
      </w:r>
    </w:p>
    <w:p w14:paraId="579DC417" w14:textId="77777777" w:rsidR="004E1659" w:rsidRDefault="00F4261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1.不可抗力；</w:t>
      </w:r>
    </w:p>
    <w:p w14:paraId="5A7882BE" w14:textId="69877AA9" w:rsidR="004E1659" w:rsidRDefault="00F4261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2.基金管理人和/或基金托管人按照当时有效的法律法规或中国证监会等监管机构的规定作为或不作为而造成的损失等；</w:t>
      </w:r>
    </w:p>
    <w:p w14:paraId="5C3C8B70" w14:textId="77777777" w:rsidR="004E1659" w:rsidRDefault="00F4261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3.在没有过错的情况下，基金管理人由于按照《基金合同》规定的投资原则投资或不投资造成的直接损失或潜在损失等；</w:t>
      </w:r>
    </w:p>
    <w:p w14:paraId="30077379" w14:textId="77777777" w:rsidR="004E1659" w:rsidRDefault="00F4261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4.非因基金管理人、基金托管人的故意或重大过失造成的计算机系统故障、网络故障、通讯故障、电力故障、计算机病毒攻击及其它意外事故所导致的损失等。</w:t>
      </w:r>
    </w:p>
    <w:p w14:paraId="28E5B011" w14:textId="77777777" w:rsidR="004E1659" w:rsidRDefault="00F4261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0EA03E1E" w14:textId="77777777" w:rsidR="004E1659" w:rsidRDefault="00F4261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（五）违约行为虽已发生，但本托管协议能够继续履行的，在最大限度地保护基金份额持有人利益的前提下，基金管理人和基金托管人应当继续履行本协议。</w:t>
      </w:r>
    </w:p>
    <w:p w14:paraId="347BB262" w14:textId="77777777" w:rsidR="004E1659" w:rsidRDefault="00F4261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六）由于基金管理人、基金托管人不可控制的因素导致业务出现差错，基金管理人和基金托管人虽然已经采取必要、适当、合理的措施进行检查，但是未能发现错误或未能避免错误发生的，由此造成基金财产或投资人损失，基金管理人和基金托管人免除赔偿责任。但是基金管理人和基金托管人应积极采取必要的措施减轻或消除由此造成的影响。</w:t>
      </w:r>
    </w:p>
    <w:bookmarkEnd w:id="120"/>
    <w:p w14:paraId="087716E6" w14:textId="77777777" w:rsidR="004E1659" w:rsidRDefault="004E1659"/>
    <w:p w14:paraId="5BB618FF" w14:textId="77777777" w:rsidR="004E1659" w:rsidRDefault="00F42610">
      <w:pPr>
        <w:pStyle w:val="2"/>
        <w:spacing w:line="360" w:lineRule="auto"/>
        <w:jc w:val="center"/>
        <w:rPr>
          <w:rFonts w:ascii="宋体" w:eastAsia="宋体" w:hAnsi="宋体"/>
          <w:sz w:val="30"/>
        </w:rPr>
      </w:pPr>
      <w:bookmarkStart w:id="121" w:name="_Toc516758912"/>
      <w:r>
        <w:rPr>
          <w:rFonts w:ascii="宋体" w:eastAsia="宋体" w:hAnsi="宋体" w:hint="eastAsia"/>
          <w:sz w:val="30"/>
        </w:rPr>
        <w:t>十八、争议解决方式</w:t>
      </w:r>
      <w:bookmarkEnd w:id="121"/>
    </w:p>
    <w:p w14:paraId="73E9C540"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双方当事人均有约束力，仲裁费用由败诉方承担，除非仲裁裁决另有决定。</w:t>
      </w:r>
    </w:p>
    <w:p w14:paraId="6A41278D"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60973D70"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lastRenderedPageBreak/>
        <w:t>本协议受中国法律</w:t>
      </w:r>
      <w:r>
        <w:rPr>
          <w:rFonts w:ascii="宋体" w:hAnsi="宋体" w:cs="Arial" w:hint="eastAsia"/>
          <w:bCs/>
          <w:sz w:val="24"/>
        </w:rPr>
        <w:t>（为本托管协议之目的，不包括香港特别行政区、澳门特别行政区和台湾地区法律）</w:t>
      </w:r>
      <w:r>
        <w:rPr>
          <w:rFonts w:ascii="宋体" w:hAnsi="宋体" w:cs="Arial" w:hint="eastAsia"/>
          <w:sz w:val="24"/>
        </w:rPr>
        <w:t>管辖，并按其解释。</w:t>
      </w:r>
    </w:p>
    <w:p w14:paraId="251CDD23" w14:textId="77777777" w:rsidR="004E1659" w:rsidRDefault="004E1659">
      <w:pPr>
        <w:adjustRightInd w:val="0"/>
        <w:snapToGrid w:val="0"/>
        <w:spacing w:line="360" w:lineRule="auto"/>
        <w:ind w:firstLineChars="200" w:firstLine="480"/>
        <w:rPr>
          <w:rFonts w:ascii="宋体" w:hAnsi="宋体" w:cs="Arial"/>
          <w:sz w:val="24"/>
        </w:rPr>
      </w:pPr>
    </w:p>
    <w:p w14:paraId="5F5C4D52" w14:textId="77777777" w:rsidR="004E1659" w:rsidRDefault="00F42610">
      <w:pPr>
        <w:pStyle w:val="2"/>
        <w:spacing w:line="360" w:lineRule="auto"/>
        <w:jc w:val="center"/>
        <w:rPr>
          <w:rFonts w:ascii="宋体" w:eastAsia="宋体" w:hAnsi="宋体"/>
          <w:sz w:val="30"/>
        </w:rPr>
      </w:pPr>
      <w:bookmarkStart w:id="122" w:name="_Toc516758913"/>
      <w:r>
        <w:rPr>
          <w:rFonts w:ascii="宋体" w:eastAsia="宋体" w:hAnsi="宋体" w:hint="eastAsia"/>
          <w:sz w:val="30"/>
        </w:rPr>
        <w:t>十九、托管协议的效力</w:t>
      </w:r>
      <w:bookmarkEnd w:id="122"/>
    </w:p>
    <w:p w14:paraId="730F392C"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双方对托管协议的效力约定如下：</w:t>
      </w:r>
    </w:p>
    <w:p w14:paraId="2A114CE3"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一）基金管理人在向中国证监会申请基金募集注册时提交的托管协议草案，应经托管协议当事人双方盖章以及双方法定代表人或授权代表签字或签章，协议当事人双方根据中国证监会的意见修改托管协议草案。托管协议以中国证监会注册的文本为正式文本。</w:t>
      </w:r>
    </w:p>
    <w:p w14:paraId="74BF7CB3"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（二）托管协议自《基金合同》成立之日起成立，自《基金合同》生效之日起生效。托管协议的有效期自其生效之日起至基金财产清算结果报中国证监会备案并公告之日止。</w:t>
      </w:r>
    </w:p>
    <w:p w14:paraId="711FCFDE"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（三）托管协议自生效之日起对托管协议当事人具有同等的法律约束力。</w:t>
      </w:r>
    </w:p>
    <w:p w14:paraId="6C7666C4"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（四）本协议一式三份，协议双方各持一份，上报监管机构</w:t>
      </w:r>
      <w:r>
        <w:rPr>
          <w:rFonts w:ascii="宋体" w:hAnsi="宋体" w:cs="Arial"/>
          <w:sz w:val="24"/>
        </w:rPr>
        <w:t>一</w:t>
      </w:r>
      <w:r>
        <w:rPr>
          <w:rFonts w:ascii="宋体" w:hAnsi="宋体" w:cs="Arial" w:hint="eastAsia"/>
          <w:sz w:val="24"/>
        </w:rPr>
        <w:t>份，每份具有同等的法律效力。</w:t>
      </w:r>
    </w:p>
    <w:p w14:paraId="1551556E" w14:textId="77777777" w:rsidR="004E1659" w:rsidRDefault="004E1659">
      <w:pPr>
        <w:adjustRightInd w:val="0"/>
        <w:snapToGrid w:val="0"/>
        <w:spacing w:line="360" w:lineRule="auto"/>
        <w:ind w:firstLineChars="200" w:firstLine="480"/>
        <w:rPr>
          <w:rFonts w:ascii="宋体" w:hAnsi="宋体" w:cs="Arial"/>
          <w:sz w:val="24"/>
        </w:rPr>
      </w:pPr>
    </w:p>
    <w:p w14:paraId="6C4729E9" w14:textId="77777777" w:rsidR="004E1659" w:rsidRDefault="00F42610">
      <w:pPr>
        <w:pStyle w:val="2"/>
        <w:spacing w:line="360" w:lineRule="auto"/>
        <w:jc w:val="center"/>
        <w:rPr>
          <w:rFonts w:ascii="宋体" w:eastAsia="宋体" w:hAnsi="宋体"/>
          <w:sz w:val="30"/>
        </w:rPr>
      </w:pPr>
      <w:bookmarkStart w:id="123" w:name="_Toc516758914"/>
      <w:r>
        <w:rPr>
          <w:rFonts w:ascii="宋体" w:eastAsia="宋体" w:hAnsi="宋体" w:hint="eastAsia"/>
          <w:sz w:val="30"/>
        </w:rPr>
        <w:t>二十、其他事项</w:t>
      </w:r>
      <w:bookmarkEnd w:id="123"/>
    </w:p>
    <w:p w14:paraId="011FBE65"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如发生有权司法机关依法冻结基金份额持有人的基金份额时，基金管理人应予以配合，承担司法协助义务。</w:t>
      </w:r>
    </w:p>
    <w:p w14:paraId="39D7C7CA" w14:textId="77777777" w:rsidR="004E1659" w:rsidRDefault="00F42610">
      <w:pPr>
        <w:adjustRightInd w:val="0"/>
        <w:snapToGrid w:val="0"/>
        <w:spacing w:line="360" w:lineRule="auto"/>
        <w:ind w:firstLineChars="200" w:firstLine="480"/>
        <w:rPr>
          <w:rFonts w:ascii="宋体" w:hAnsi="宋体" w:cs="Arial"/>
          <w:sz w:val="24"/>
        </w:rPr>
      </w:pPr>
      <w:r>
        <w:rPr>
          <w:rFonts w:ascii="宋体" w:hAnsi="宋体" w:cs="Arial" w:hint="eastAsia"/>
          <w:sz w:val="24"/>
        </w:rPr>
        <w:t>除本协议有明确定义外，本协议的用语定义适用《基金合同》的约定。本协议未尽事宜，当事人依据《基金合同》、有关法律法规等规定协商办理。</w:t>
      </w:r>
    </w:p>
    <w:p w14:paraId="26185279" w14:textId="77777777" w:rsidR="004E1659" w:rsidRDefault="004E1659">
      <w:pPr>
        <w:adjustRightInd w:val="0"/>
        <w:snapToGrid w:val="0"/>
        <w:spacing w:line="360" w:lineRule="auto"/>
        <w:ind w:firstLineChars="200" w:firstLine="422"/>
        <w:rPr>
          <w:rFonts w:ascii="宋体" w:hAnsi="宋体"/>
          <w:b/>
          <w:bCs/>
        </w:rPr>
      </w:pPr>
    </w:p>
    <w:p w14:paraId="0E20B2D8" w14:textId="77777777" w:rsidR="004E1659" w:rsidRDefault="00F42610">
      <w:pPr>
        <w:pStyle w:val="2"/>
        <w:spacing w:line="360" w:lineRule="auto"/>
        <w:jc w:val="center"/>
        <w:rPr>
          <w:rFonts w:ascii="宋体" w:eastAsia="宋体" w:hAnsi="宋体"/>
          <w:sz w:val="30"/>
        </w:rPr>
      </w:pPr>
      <w:bookmarkStart w:id="124" w:name="_Toc516758915"/>
      <w:r>
        <w:rPr>
          <w:rFonts w:ascii="宋体" w:eastAsia="宋体" w:hAnsi="宋体" w:hint="eastAsia"/>
          <w:sz w:val="30"/>
        </w:rPr>
        <w:t>二十一、托管协议的签订</w:t>
      </w:r>
      <w:bookmarkEnd w:id="124"/>
    </w:p>
    <w:p w14:paraId="1779B581" w14:textId="77777777" w:rsidR="004E1659" w:rsidRDefault="00F42610">
      <w:pPr>
        <w:spacing w:line="360" w:lineRule="auto"/>
        <w:ind w:right="26"/>
        <w:rPr>
          <w:rFonts w:ascii="宋体" w:hAnsi="宋体" w:cs="Arial"/>
          <w:sz w:val="24"/>
        </w:rPr>
      </w:pPr>
      <w:r>
        <w:rPr>
          <w:rFonts w:ascii="宋体" w:hAnsi="宋体" w:cs="Arial" w:hint="eastAsia"/>
          <w:sz w:val="24"/>
        </w:rPr>
        <w:t>本协议双方法定代表人或授权代表签章、签订地、签订日。</w:t>
      </w:r>
    </w:p>
    <w:p w14:paraId="328CC389" w14:textId="77777777" w:rsidR="004E1659" w:rsidRDefault="004E1659">
      <w:pPr>
        <w:widowControl/>
        <w:jc w:val="left"/>
        <w:rPr>
          <w:rFonts w:ascii="宋体" w:hAnsi="宋体" w:cs="Arial"/>
          <w:sz w:val="24"/>
        </w:rPr>
        <w:sectPr w:rsidR="004E1659">
          <w:headerReference w:type="default" r:id="rId9"/>
          <w:pgSz w:w="11906" w:h="16838"/>
          <w:pgMar w:top="1418" w:right="1701" w:bottom="1418" w:left="1701" w:header="851" w:footer="992" w:gutter="0"/>
          <w:pgNumType w:start="1"/>
          <w:cols w:space="720"/>
          <w:docGrid w:type="lines" w:linePitch="312"/>
        </w:sectPr>
      </w:pPr>
    </w:p>
    <w:p w14:paraId="5D363217" w14:textId="0BC6E63E" w:rsidR="004E1659" w:rsidRDefault="004E1659">
      <w:pPr>
        <w:widowControl/>
        <w:jc w:val="left"/>
        <w:rPr>
          <w:rFonts w:ascii="宋体" w:hAnsi="宋体" w:cs="Arial"/>
          <w:sz w:val="24"/>
        </w:rPr>
      </w:pPr>
    </w:p>
    <w:p w14:paraId="15EC8915" w14:textId="1DF4C42D" w:rsidR="004E1659" w:rsidRDefault="004E1659">
      <w:pPr>
        <w:spacing w:line="360" w:lineRule="auto"/>
        <w:ind w:right="26"/>
        <w:rPr>
          <w:rFonts w:ascii="宋体" w:hAnsi="宋体" w:cs="宋体"/>
        </w:rPr>
      </w:pPr>
    </w:p>
    <w:sectPr w:rsidR="004E1659">
      <w:headerReference w:type="default" r:id="rId10"/>
      <w:footerReference w:type="default" r:id="rId11"/>
      <w:type w:val="continuous"/>
      <w:pgSz w:w="11906" w:h="16838"/>
      <w:pgMar w:top="1418" w:right="1701" w:bottom="1418" w:left="1701"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12BD32" w14:textId="77777777" w:rsidR="00395293" w:rsidRDefault="00395293">
      <w:r>
        <w:separator/>
      </w:r>
    </w:p>
  </w:endnote>
  <w:endnote w:type="continuationSeparator" w:id="0">
    <w:p w14:paraId="1D469569" w14:textId="77777777" w:rsidR="00395293" w:rsidRDefault="00395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简体">
    <w:altName w:val="方正仿宋_GBK"/>
    <w:charset w:val="86"/>
    <w:family w:val="auto"/>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default"/>
    <w:sig w:usb0="00000000" w:usb1="00000000" w:usb2="00000010" w:usb3="00000000" w:csb0="00040000" w:csb1="00000000"/>
  </w:font>
  <w:font w:name="等线">
    <w:altName w:val="宋体"/>
    <w:panose1 w:val="02010600030101010101"/>
    <w:charset w:val="86"/>
    <w:family w:val="auto"/>
    <w:pitch w:val="variable"/>
    <w:sig w:usb0="A00002BF" w:usb1="38CF7CFA" w:usb2="00000016" w:usb3="00000000" w:csb0="0004000F" w:csb1="00000000"/>
  </w:font>
  <w:font w:name="彩虹粗仿宋">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altName w:val="FreeSerif"/>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DejaVu Sans"/>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E6047" w14:textId="77777777" w:rsidR="00F42610" w:rsidRDefault="00F42610">
    <w:pPr>
      <w:pStyle w:val="a8"/>
      <w:framePr w:wrap="around" w:vAnchor="text" w:hAnchor="margin" w:xAlign="center" w:y="1"/>
      <w:rPr>
        <w:rStyle w:val="ad"/>
      </w:rPr>
    </w:pPr>
    <w:r>
      <w:fldChar w:fldCharType="begin"/>
    </w:r>
    <w:r>
      <w:rPr>
        <w:rStyle w:val="ad"/>
      </w:rPr>
      <w:instrText xml:space="preserve">PAGE  </w:instrText>
    </w:r>
    <w:r>
      <w:fldChar w:fldCharType="end"/>
    </w:r>
  </w:p>
  <w:p w14:paraId="7A607FA5" w14:textId="77777777" w:rsidR="00F42610" w:rsidRDefault="00F4261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1165F5" w14:textId="77777777" w:rsidR="00F42610" w:rsidRDefault="00F42610">
    <w:pPr>
      <w:pStyle w:val="a8"/>
      <w:jc w:val="center"/>
    </w:pPr>
    <w:r>
      <w:fldChar w:fldCharType="begin"/>
    </w:r>
    <w:r>
      <w:instrText>PAGE   \* MERGEFORMAT</w:instrText>
    </w:r>
    <w:r>
      <w:fldChar w:fldCharType="separate"/>
    </w:r>
    <w:r w:rsidR="00AB0433" w:rsidRPr="00AB0433">
      <w:rPr>
        <w:noProof/>
        <w:lang w:val="zh-CN"/>
      </w:rPr>
      <w:t>20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527CE" w14:textId="77777777" w:rsidR="00F42610" w:rsidRDefault="00F42610">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BD382B" w14:textId="77777777" w:rsidR="00395293" w:rsidRDefault="00395293">
      <w:r>
        <w:separator/>
      </w:r>
    </w:p>
  </w:footnote>
  <w:footnote w:type="continuationSeparator" w:id="0">
    <w:p w14:paraId="2FDEF495" w14:textId="77777777" w:rsidR="00395293" w:rsidRDefault="003952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11354A" w14:textId="77777777" w:rsidR="00F42610" w:rsidRDefault="00F42610">
    <w:pPr>
      <w:pStyle w:val="a9"/>
      <w:jc w:val="left"/>
    </w:pPr>
    <w:r>
      <w:rPr>
        <w:rFonts w:hint="eastAsia"/>
      </w:rPr>
      <w:t>银华智享混合型证券投资基金</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托管协议</w:t>
    </w:r>
  </w:p>
  <w:p w14:paraId="0B3605E4" w14:textId="77777777" w:rsidR="00F42610" w:rsidRDefault="00F4261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CF4BC" w14:textId="77777777" w:rsidR="00F42610" w:rsidRDefault="00F42610">
    <w:pPr>
      <w:pStyle w:val="a9"/>
      <w:jc w:val="left"/>
    </w:pPr>
    <w:r>
      <w:rPr>
        <w:rFonts w:hint="eastAsia"/>
      </w:rPr>
      <w:t>银华智享混合型证券投资基金</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托管协议</w:t>
    </w:r>
  </w:p>
  <w:p w14:paraId="09B5C69D" w14:textId="77777777" w:rsidR="00F42610" w:rsidRDefault="00F4261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jYjA3ZTQ2MTM1MDE2Njk1YjQxMTc0YTg5ODhiMTAifQ=="/>
  </w:docVars>
  <w:rsids>
    <w:rsidRoot w:val="00172A27"/>
    <w:rsid w:val="00001419"/>
    <w:rsid w:val="00005C57"/>
    <w:rsid w:val="000107D4"/>
    <w:rsid w:val="000138C8"/>
    <w:rsid w:val="0001392C"/>
    <w:rsid w:val="0001462B"/>
    <w:rsid w:val="00015B4B"/>
    <w:rsid w:val="00017BD0"/>
    <w:rsid w:val="00024802"/>
    <w:rsid w:val="00034EC8"/>
    <w:rsid w:val="000379B1"/>
    <w:rsid w:val="000404CE"/>
    <w:rsid w:val="00041159"/>
    <w:rsid w:val="000420EE"/>
    <w:rsid w:val="000438F6"/>
    <w:rsid w:val="00043D0C"/>
    <w:rsid w:val="000473D5"/>
    <w:rsid w:val="000548A6"/>
    <w:rsid w:val="00055680"/>
    <w:rsid w:val="0005577E"/>
    <w:rsid w:val="00055B18"/>
    <w:rsid w:val="00056468"/>
    <w:rsid w:val="00056A44"/>
    <w:rsid w:val="00057339"/>
    <w:rsid w:val="000635A3"/>
    <w:rsid w:val="0006360B"/>
    <w:rsid w:val="000647CF"/>
    <w:rsid w:val="000652CE"/>
    <w:rsid w:val="00065E0E"/>
    <w:rsid w:val="00066D0A"/>
    <w:rsid w:val="00066D12"/>
    <w:rsid w:val="00071598"/>
    <w:rsid w:val="00072C49"/>
    <w:rsid w:val="00073A2D"/>
    <w:rsid w:val="00074934"/>
    <w:rsid w:val="000764E9"/>
    <w:rsid w:val="00082A5B"/>
    <w:rsid w:val="0008585F"/>
    <w:rsid w:val="00091A19"/>
    <w:rsid w:val="00091A85"/>
    <w:rsid w:val="00091B5B"/>
    <w:rsid w:val="00091BF5"/>
    <w:rsid w:val="00093083"/>
    <w:rsid w:val="00093B60"/>
    <w:rsid w:val="000945A5"/>
    <w:rsid w:val="000955DC"/>
    <w:rsid w:val="000A05DB"/>
    <w:rsid w:val="000A33BC"/>
    <w:rsid w:val="000A3554"/>
    <w:rsid w:val="000A6206"/>
    <w:rsid w:val="000B0A1C"/>
    <w:rsid w:val="000B0A81"/>
    <w:rsid w:val="000B1860"/>
    <w:rsid w:val="000B3B29"/>
    <w:rsid w:val="000C3B26"/>
    <w:rsid w:val="000C67B9"/>
    <w:rsid w:val="000D2E54"/>
    <w:rsid w:val="000D42C4"/>
    <w:rsid w:val="000D564F"/>
    <w:rsid w:val="000D5B41"/>
    <w:rsid w:val="000D6562"/>
    <w:rsid w:val="000E2B13"/>
    <w:rsid w:val="000E573B"/>
    <w:rsid w:val="000E5F58"/>
    <w:rsid w:val="000F100F"/>
    <w:rsid w:val="000F3E81"/>
    <w:rsid w:val="000F5CCC"/>
    <w:rsid w:val="0010297B"/>
    <w:rsid w:val="00103FB8"/>
    <w:rsid w:val="0010508C"/>
    <w:rsid w:val="0010580A"/>
    <w:rsid w:val="00110D22"/>
    <w:rsid w:val="0011270B"/>
    <w:rsid w:val="0011367B"/>
    <w:rsid w:val="0011433D"/>
    <w:rsid w:val="001154DE"/>
    <w:rsid w:val="00124D32"/>
    <w:rsid w:val="001306E2"/>
    <w:rsid w:val="00130E5F"/>
    <w:rsid w:val="0013289E"/>
    <w:rsid w:val="0013564E"/>
    <w:rsid w:val="00140B94"/>
    <w:rsid w:val="00140FFF"/>
    <w:rsid w:val="00142C53"/>
    <w:rsid w:val="001430DA"/>
    <w:rsid w:val="00143263"/>
    <w:rsid w:val="0014372D"/>
    <w:rsid w:val="001442FA"/>
    <w:rsid w:val="00146670"/>
    <w:rsid w:val="001470B8"/>
    <w:rsid w:val="00150561"/>
    <w:rsid w:val="001509B6"/>
    <w:rsid w:val="00150FEC"/>
    <w:rsid w:val="0015152C"/>
    <w:rsid w:val="00153BEB"/>
    <w:rsid w:val="00155A74"/>
    <w:rsid w:val="0015792D"/>
    <w:rsid w:val="0016020D"/>
    <w:rsid w:val="00160297"/>
    <w:rsid w:val="00162AA2"/>
    <w:rsid w:val="00163254"/>
    <w:rsid w:val="001654F9"/>
    <w:rsid w:val="00165F51"/>
    <w:rsid w:val="001672C8"/>
    <w:rsid w:val="00172A27"/>
    <w:rsid w:val="00173000"/>
    <w:rsid w:val="00176206"/>
    <w:rsid w:val="001767E7"/>
    <w:rsid w:val="00177C4D"/>
    <w:rsid w:val="00180C99"/>
    <w:rsid w:val="00181AC3"/>
    <w:rsid w:val="00185F40"/>
    <w:rsid w:val="00190920"/>
    <w:rsid w:val="0019146D"/>
    <w:rsid w:val="0019386E"/>
    <w:rsid w:val="00197A00"/>
    <w:rsid w:val="001A144B"/>
    <w:rsid w:val="001A3E0A"/>
    <w:rsid w:val="001B2869"/>
    <w:rsid w:val="001B45A7"/>
    <w:rsid w:val="001B5BEA"/>
    <w:rsid w:val="001C6DED"/>
    <w:rsid w:val="001C6ED3"/>
    <w:rsid w:val="001C70BE"/>
    <w:rsid w:val="001D0444"/>
    <w:rsid w:val="001D0D7B"/>
    <w:rsid w:val="001D4436"/>
    <w:rsid w:val="001D463C"/>
    <w:rsid w:val="001D50C7"/>
    <w:rsid w:val="001D6B3B"/>
    <w:rsid w:val="001D71F0"/>
    <w:rsid w:val="001E4B8C"/>
    <w:rsid w:val="001E52E6"/>
    <w:rsid w:val="001E70E1"/>
    <w:rsid w:val="001F02AB"/>
    <w:rsid w:val="001F0CAE"/>
    <w:rsid w:val="001F1EF0"/>
    <w:rsid w:val="001F35EC"/>
    <w:rsid w:val="001F6BB1"/>
    <w:rsid w:val="00201B46"/>
    <w:rsid w:val="00204C3C"/>
    <w:rsid w:val="00211044"/>
    <w:rsid w:val="00211739"/>
    <w:rsid w:val="00212280"/>
    <w:rsid w:val="00213BAC"/>
    <w:rsid w:val="002147A5"/>
    <w:rsid w:val="002154CD"/>
    <w:rsid w:val="00216D46"/>
    <w:rsid w:val="00220C58"/>
    <w:rsid w:val="00224C43"/>
    <w:rsid w:val="0022531B"/>
    <w:rsid w:val="00225DB4"/>
    <w:rsid w:val="00227094"/>
    <w:rsid w:val="0022760B"/>
    <w:rsid w:val="00227EEB"/>
    <w:rsid w:val="00230B8C"/>
    <w:rsid w:val="002344E9"/>
    <w:rsid w:val="00234767"/>
    <w:rsid w:val="00236631"/>
    <w:rsid w:val="0023775D"/>
    <w:rsid w:val="00237EAA"/>
    <w:rsid w:val="00241CCF"/>
    <w:rsid w:val="00242878"/>
    <w:rsid w:val="00244373"/>
    <w:rsid w:val="00245932"/>
    <w:rsid w:val="002471D9"/>
    <w:rsid w:val="0025635E"/>
    <w:rsid w:val="00263988"/>
    <w:rsid w:val="002643B7"/>
    <w:rsid w:val="00264C6C"/>
    <w:rsid w:val="002704BF"/>
    <w:rsid w:val="00270A08"/>
    <w:rsid w:val="002726B1"/>
    <w:rsid w:val="00272A12"/>
    <w:rsid w:val="002744AD"/>
    <w:rsid w:val="0027517F"/>
    <w:rsid w:val="00275DA8"/>
    <w:rsid w:val="00276F59"/>
    <w:rsid w:val="00276F9E"/>
    <w:rsid w:val="00277502"/>
    <w:rsid w:val="002819D2"/>
    <w:rsid w:val="00281FC3"/>
    <w:rsid w:val="00282B4C"/>
    <w:rsid w:val="00282FD5"/>
    <w:rsid w:val="002831BA"/>
    <w:rsid w:val="00286223"/>
    <w:rsid w:val="002866D5"/>
    <w:rsid w:val="00286F8C"/>
    <w:rsid w:val="0029155A"/>
    <w:rsid w:val="0029251E"/>
    <w:rsid w:val="00292FD3"/>
    <w:rsid w:val="00293FD0"/>
    <w:rsid w:val="00295C93"/>
    <w:rsid w:val="00295EBD"/>
    <w:rsid w:val="00297A25"/>
    <w:rsid w:val="002A1ED2"/>
    <w:rsid w:val="002A2DA1"/>
    <w:rsid w:val="002A4755"/>
    <w:rsid w:val="002A603C"/>
    <w:rsid w:val="002A7857"/>
    <w:rsid w:val="002A79BE"/>
    <w:rsid w:val="002B2CB3"/>
    <w:rsid w:val="002B4F7A"/>
    <w:rsid w:val="002B5C3E"/>
    <w:rsid w:val="002B6EAA"/>
    <w:rsid w:val="002C0A31"/>
    <w:rsid w:val="002C1445"/>
    <w:rsid w:val="002C2D39"/>
    <w:rsid w:val="002C70A9"/>
    <w:rsid w:val="002D2B2A"/>
    <w:rsid w:val="002D5A13"/>
    <w:rsid w:val="002D62E3"/>
    <w:rsid w:val="002D6C63"/>
    <w:rsid w:val="002E05C7"/>
    <w:rsid w:val="002E723B"/>
    <w:rsid w:val="002F283E"/>
    <w:rsid w:val="002F5E08"/>
    <w:rsid w:val="002F6BC9"/>
    <w:rsid w:val="00301BD9"/>
    <w:rsid w:val="00304410"/>
    <w:rsid w:val="00304D7A"/>
    <w:rsid w:val="00306CD0"/>
    <w:rsid w:val="003070D3"/>
    <w:rsid w:val="00311897"/>
    <w:rsid w:val="00313139"/>
    <w:rsid w:val="00315C1E"/>
    <w:rsid w:val="00316F59"/>
    <w:rsid w:val="00323187"/>
    <w:rsid w:val="003235CC"/>
    <w:rsid w:val="00332C8C"/>
    <w:rsid w:val="003342DE"/>
    <w:rsid w:val="0033777B"/>
    <w:rsid w:val="00341744"/>
    <w:rsid w:val="00341DDF"/>
    <w:rsid w:val="00342937"/>
    <w:rsid w:val="003441D5"/>
    <w:rsid w:val="00350C2E"/>
    <w:rsid w:val="0035543F"/>
    <w:rsid w:val="003561C6"/>
    <w:rsid w:val="00357F11"/>
    <w:rsid w:val="0036283C"/>
    <w:rsid w:val="0036287E"/>
    <w:rsid w:val="00364AC1"/>
    <w:rsid w:val="00364B82"/>
    <w:rsid w:val="00366F92"/>
    <w:rsid w:val="00367A6A"/>
    <w:rsid w:val="00370DD0"/>
    <w:rsid w:val="00372E8F"/>
    <w:rsid w:val="003730E4"/>
    <w:rsid w:val="00375E77"/>
    <w:rsid w:val="00384027"/>
    <w:rsid w:val="00384BBB"/>
    <w:rsid w:val="003878CD"/>
    <w:rsid w:val="00387E3B"/>
    <w:rsid w:val="0039188A"/>
    <w:rsid w:val="0039241C"/>
    <w:rsid w:val="00393F17"/>
    <w:rsid w:val="00394CA7"/>
    <w:rsid w:val="00395115"/>
    <w:rsid w:val="00395293"/>
    <w:rsid w:val="003A535F"/>
    <w:rsid w:val="003A565E"/>
    <w:rsid w:val="003A68D3"/>
    <w:rsid w:val="003A7843"/>
    <w:rsid w:val="003B0350"/>
    <w:rsid w:val="003B48F1"/>
    <w:rsid w:val="003B5BC7"/>
    <w:rsid w:val="003B7C03"/>
    <w:rsid w:val="003C02B4"/>
    <w:rsid w:val="003C09BB"/>
    <w:rsid w:val="003C0DF7"/>
    <w:rsid w:val="003C4AE0"/>
    <w:rsid w:val="003C5853"/>
    <w:rsid w:val="003C5A02"/>
    <w:rsid w:val="003C5E3C"/>
    <w:rsid w:val="003D1F57"/>
    <w:rsid w:val="003D2A8D"/>
    <w:rsid w:val="003D3D0C"/>
    <w:rsid w:val="003D4AFC"/>
    <w:rsid w:val="003E01B7"/>
    <w:rsid w:val="003E2D00"/>
    <w:rsid w:val="003E3BA3"/>
    <w:rsid w:val="003E3FA7"/>
    <w:rsid w:val="003F002F"/>
    <w:rsid w:val="003F2699"/>
    <w:rsid w:val="003F40A6"/>
    <w:rsid w:val="003F511C"/>
    <w:rsid w:val="003F59EE"/>
    <w:rsid w:val="003F796D"/>
    <w:rsid w:val="003F7B09"/>
    <w:rsid w:val="00401214"/>
    <w:rsid w:val="0040348A"/>
    <w:rsid w:val="004036FC"/>
    <w:rsid w:val="00407328"/>
    <w:rsid w:val="00407E80"/>
    <w:rsid w:val="004104F3"/>
    <w:rsid w:val="00414132"/>
    <w:rsid w:val="0042154E"/>
    <w:rsid w:val="00421FBB"/>
    <w:rsid w:val="004231FC"/>
    <w:rsid w:val="00424D3B"/>
    <w:rsid w:val="00425259"/>
    <w:rsid w:val="00430F4F"/>
    <w:rsid w:val="0043297F"/>
    <w:rsid w:val="00433721"/>
    <w:rsid w:val="00434BC4"/>
    <w:rsid w:val="00434BE0"/>
    <w:rsid w:val="0043640D"/>
    <w:rsid w:val="004379CF"/>
    <w:rsid w:val="004379D1"/>
    <w:rsid w:val="00440B3E"/>
    <w:rsid w:val="00441920"/>
    <w:rsid w:val="00442134"/>
    <w:rsid w:val="00442E3D"/>
    <w:rsid w:val="004443D2"/>
    <w:rsid w:val="00444783"/>
    <w:rsid w:val="00446391"/>
    <w:rsid w:val="00446D3A"/>
    <w:rsid w:val="00447631"/>
    <w:rsid w:val="00454392"/>
    <w:rsid w:val="00457AA8"/>
    <w:rsid w:val="00460116"/>
    <w:rsid w:val="00461136"/>
    <w:rsid w:val="004622DE"/>
    <w:rsid w:val="004653C0"/>
    <w:rsid w:val="00466614"/>
    <w:rsid w:val="0047176F"/>
    <w:rsid w:val="00471901"/>
    <w:rsid w:val="004722B3"/>
    <w:rsid w:val="00474EA2"/>
    <w:rsid w:val="004807FE"/>
    <w:rsid w:val="00482553"/>
    <w:rsid w:val="00495132"/>
    <w:rsid w:val="004953EF"/>
    <w:rsid w:val="00495A02"/>
    <w:rsid w:val="004A2EA7"/>
    <w:rsid w:val="004A3BA9"/>
    <w:rsid w:val="004A481B"/>
    <w:rsid w:val="004B1C68"/>
    <w:rsid w:val="004C7ACA"/>
    <w:rsid w:val="004D20BA"/>
    <w:rsid w:val="004D3A1D"/>
    <w:rsid w:val="004D569F"/>
    <w:rsid w:val="004D63CA"/>
    <w:rsid w:val="004E15FE"/>
    <w:rsid w:val="004E1659"/>
    <w:rsid w:val="004E2E0F"/>
    <w:rsid w:val="004E3AE1"/>
    <w:rsid w:val="004E67C4"/>
    <w:rsid w:val="004F04F3"/>
    <w:rsid w:val="004F1EDF"/>
    <w:rsid w:val="004F7632"/>
    <w:rsid w:val="004F7C53"/>
    <w:rsid w:val="0050307C"/>
    <w:rsid w:val="00503ABE"/>
    <w:rsid w:val="005041BC"/>
    <w:rsid w:val="00506633"/>
    <w:rsid w:val="00506BE2"/>
    <w:rsid w:val="00507002"/>
    <w:rsid w:val="00507530"/>
    <w:rsid w:val="00510585"/>
    <w:rsid w:val="005108CC"/>
    <w:rsid w:val="0051168D"/>
    <w:rsid w:val="005116F2"/>
    <w:rsid w:val="00511883"/>
    <w:rsid w:val="00512020"/>
    <w:rsid w:val="005128A9"/>
    <w:rsid w:val="00514ED0"/>
    <w:rsid w:val="005162DD"/>
    <w:rsid w:val="0051657D"/>
    <w:rsid w:val="00516F9E"/>
    <w:rsid w:val="00520C17"/>
    <w:rsid w:val="00521E03"/>
    <w:rsid w:val="005233A2"/>
    <w:rsid w:val="005254C5"/>
    <w:rsid w:val="0052555A"/>
    <w:rsid w:val="0053238A"/>
    <w:rsid w:val="00537022"/>
    <w:rsid w:val="00537364"/>
    <w:rsid w:val="00537E2B"/>
    <w:rsid w:val="00541625"/>
    <w:rsid w:val="00541C6B"/>
    <w:rsid w:val="00543A96"/>
    <w:rsid w:val="005471DF"/>
    <w:rsid w:val="005524AE"/>
    <w:rsid w:val="005533F0"/>
    <w:rsid w:val="00555A66"/>
    <w:rsid w:val="005604EC"/>
    <w:rsid w:val="0056097F"/>
    <w:rsid w:val="0056271E"/>
    <w:rsid w:val="00562A28"/>
    <w:rsid w:val="00565C94"/>
    <w:rsid w:val="00565CD1"/>
    <w:rsid w:val="00565EC3"/>
    <w:rsid w:val="00566E16"/>
    <w:rsid w:val="00566FFA"/>
    <w:rsid w:val="00570D66"/>
    <w:rsid w:val="005714FE"/>
    <w:rsid w:val="005736C7"/>
    <w:rsid w:val="00573C12"/>
    <w:rsid w:val="005741E4"/>
    <w:rsid w:val="00574526"/>
    <w:rsid w:val="00574C84"/>
    <w:rsid w:val="00574D3F"/>
    <w:rsid w:val="00575285"/>
    <w:rsid w:val="00575665"/>
    <w:rsid w:val="00580005"/>
    <w:rsid w:val="00587DCE"/>
    <w:rsid w:val="00595A10"/>
    <w:rsid w:val="005A00DE"/>
    <w:rsid w:val="005A01E2"/>
    <w:rsid w:val="005A0704"/>
    <w:rsid w:val="005A46B0"/>
    <w:rsid w:val="005B1953"/>
    <w:rsid w:val="005B3EFF"/>
    <w:rsid w:val="005B49C1"/>
    <w:rsid w:val="005B4D82"/>
    <w:rsid w:val="005B5345"/>
    <w:rsid w:val="005B7F01"/>
    <w:rsid w:val="005C36F9"/>
    <w:rsid w:val="005C3785"/>
    <w:rsid w:val="005C4D39"/>
    <w:rsid w:val="005C6A91"/>
    <w:rsid w:val="005D1033"/>
    <w:rsid w:val="005D130C"/>
    <w:rsid w:val="005D1816"/>
    <w:rsid w:val="005D1D9B"/>
    <w:rsid w:val="005D5033"/>
    <w:rsid w:val="005D6A5D"/>
    <w:rsid w:val="005D729E"/>
    <w:rsid w:val="005E013A"/>
    <w:rsid w:val="005E2AA9"/>
    <w:rsid w:val="005E4358"/>
    <w:rsid w:val="005E5D03"/>
    <w:rsid w:val="005E7E07"/>
    <w:rsid w:val="005F2B76"/>
    <w:rsid w:val="005F329F"/>
    <w:rsid w:val="005F5862"/>
    <w:rsid w:val="005F7E2B"/>
    <w:rsid w:val="0060074C"/>
    <w:rsid w:val="00601F22"/>
    <w:rsid w:val="00603EC3"/>
    <w:rsid w:val="00603F14"/>
    <w:rsid w:val="006051A1"/>
    <w:rsid w:val="00605D1F"/>
    <w:rsid w:val="00607F09"/>
    <w:rsid w:val="00615E04"/>
    <w:rsid w:val="006217FF"/>
    <w:rsid w:val="006241CA"/>
    <w:rsid w:val="00625BD6"/>
    <w:rsid w:val="00626A0F"/>
    <w:rsid w:val="00626CE0"/>
    <w:rsid w:val="0063098E"/>
    <w:rsid w:val="00632047"/>
    <w:rsid w:val="006332D3"/>
    <w:rsid w:val="00635DD6"/>
    <w:rsid w:val="0063649E"/>
    <w:rsid w:val="00636A1C"/>
    <w:rsid w:val="00636F6B"/>
    <w:rsid w:val="0064010C"/>
    <w:rsid w:val="006409AD"/>
    <w:rsid w:val="006410D9"/>
    <w:rsid w:val="00641B0D"/>
    <w:rsid w:val="006420DA"/>
    <w:rsid w:val="00643784"/>
    <w:rsid w:val="00643CDF"/>
    <w:rsid w:val="00644F0B"/>
    <w:rsid w:val="0064784C"/>
    <w:rsid w:val="00651FA1"/>
    <w:rsid w:val="00652C1B"/>
    <w:rsid w:val="00660896"/>
    <w:rsid w:val="006612AE"/>
    <w:rsid w:val="006617BF"/>
    <w:rsid w:val="00662B8A"/>
    <w:rsid w:val="00662D10"/>
    <w:rsid w:val="00666207"/>
    <w:rsid w:val="00666970"/>
    <w:rsid w:val="00667B49"/>
    <w:rsid w:val="006702E1"/>
    <w:rsid w:val="00670676"/>
    <w:rsid w:val="00674ADE"/>
    <w:rsid w:val="006766DD"/>
    <w:rsid w:val="006775D2"/>
    <w:rsid w:val="006802DD"/>
    <w:rsid w:val="00681B85"/>
    <w:rsid w:val="00682A69"/>
    <w:rsid w:val="00684340"/>
    <w:rsid w:val="0068514D"/>
    <w:rsid w:val="00686272"/>
    <w:rsid w:val="00686494"/>
    <w:rsid w:val="0068709B"/>
    <w:rsid w:val="00690F7A"/>
    <w:rsid w:val="006914C2"/>
    <w:rsid w:val="00691EEB"/>
    <w:rsid w:val="006928D6"/>
    <w:rsid w:val="00696D4D"/>
    <w:rsid w:val="006A0348"/>
    <w:rsid w:val="006A0929"/>
    <w:rsid w:val="006A1743"/>
    <w:rsid w:val="006A1756"/>
    <w:rsid w:val="006A1E0F"/>
    <w:rsid w:val="006A5EAF"/>
    <w:rsid w:val="006A6A22"/>
    <w:rsid w:val="006C31B1"/>
    <w:rsid w:val="006C3CF1"/>
    <w:rsid w:val="006C4A87"/>
    <w:rsid w:val="006C6A47"/>
    <w:rsid w:val="006C7B45"/>
    <w:rsid w:val="006D3205"/>
    <w:rsid w:val="006D4036"/>
    <w:rsid w:val="006D6489"/>
    <w:rsid w:val="006D7CB1"/>
    <w:rsid w:val="006E0307"/>
    <w:rsid w:val="006E1ADD"/>
    <w:rsid w:val="006E27E3"/>
    <w:rsid w:val="006E4F47"/>
    <w:rsid w:val="006E7B35"/>
    <w:rsid w:val="006F2234"/>
    <w:rsid w:val="006F3995"/>
    <w:rsid w:val="006F7B81"/>
    <w:rsid w:val="00701DE9"/>
    <w:rsid w:val="007022FA"/>
    <w:rsid w:val="00704D18"/>
    <w:rsid w:val="00705203"/>
    <w:rsid w:val="00705FC0"/>
    <w:rsid w:val="00711F18"/>
    <w:rsid w:val="00712DA0"/>
    <w:rsid w:val="00713675"/>
    <w:rsid w:val="00713E55"/>
    <w:rsid w:val="00715F2E"/>
    <w:rsid w:val="00716A20"/>
    <w:rsid w:val="0071710E"/>
    <w:rsid w:val="00720352"/>
    <w:rsid w:val="00722936"/>
    <w:rsid w:val="00726474"/>
    <w:rsid w:val="007347A5"/>
    <w:rsid w:val="007364BB"/>
    <w:rsid w:val="00740EA4"/>
    <w:rsid w:val="007418E1"/>
    <w:rsid w:val="00742589"/>
    <w:rsid w:val="00742609"/>
    <w:rsid w:val="00742910"/>
    <w:rsid w:val="00742A0D"/>
    <w:rsid w:val="00745350"/>
    <w:rsid w:val="00745CBE"/>
    <w:rsid w:val="00746770"/>
    <w:rsid w:val="00756365"/>
    <w:rsid w:val="00762027"/>
    <w:rsid w:val="0076279F"/>
    <w:rsid w:val="007644E3"/>
    <w:rsid w:val="00765660"/>
    <w:rsid w:val="00766BB4"/>
    <w:rsid w:val="007702D5"/>
    <w:rsid w:val="00771C83"/>
    <w:rsid w:val="0077228C"/>
    <w:rsid w:val="00773AB7"/>
    <w:rsid w:val="00773C0A"/>
    <w:rsid w:val="0077506C"/>
    <w:rsid w:val="007768D2"/>
    <w:rsid w:val="00777132"/>
    <w:rsid w:val="007800E7"/>
    <w:rsid w:val="00783A7B"/>
    <w:rsid w:val="00784D24"/>
    <w:rsid w:val="0078530C"/>
    <w:rsid w:val="00786FAC"/>
    <w:rsid w:val="00787D5F"/>
    <w:rsid w:val="007905C0"/>
    <w:rsid w:val="00791646"/>
    <w:rsid w:val="0079666D"/>
    <w:rsid w:val="00796F58"/>
    <w:rsid w:val="007A1646"/>
    <w:rsid w:val="007A1772"/>
    <w:rsid w:val="007A21C4"/>
    <w:rsid w:val="007A4C9D"/>
    <w:rsid w:val="007B0650"/>
    <w:rsid w:val="007B0C6A"/>
    <w:rsid w:val="007B3456"/>
    <w:rsid w:val="007B502A"/>
    <w:rsid w:val="007B5560"/>
    <w:rsid w:val="007C1112"/>
    <w:rsid w:val="007C3004"/>
    <w:rsid w:val="007C4F7A"/>
    <w:rsid w:val="007C6E0A"/>
    <w:rsid w:val="007D03FC"/>
    <w:rsid w:val="007D1316"/>
    <w:rsid w:val="007D24AE"/>
    <w:rsid w:val="007D2E0A"/>
    <w:rsid w:val="007D318F"/>
    <w:rsid w:val="007D43FD"/>
    <w:rsid w:val="007D6AAA"/>
    <w:rsid w:val="007F1A2C"/>
    <w:rsid w:val="007F6C48"/>
    <w:rsid w:val="00801484"/>
    <w:rsid w:val="00801AD1"/>
    <w:rsid w:val="0080339D"/>
    <w:rsid w:val="00803D6A"/>
    <w:rsid w:val="00804E1C"/>
    <w:rsid w:val="00806C31"/>
    <w:rsid w:val="0081001A"/>
    <w:rsid w:val="00812D55"/>
    <w:rsid w:val="00813AAE"/>
    <w:rsid w:val="008161D0"/>
    <w:rsid w:val="00817545"/>
    <w:rsid w:val="00817638"/>
    <w:rsid w:val="00817E1D"/>
    <w:rsid w:val="00817F51"/>
    <w:rsid w:val="0082021A"/>
    <w:rsid w:val="00820C08"/>
    <w:rsid w:val="00821F7A"/>
    <w:rsid w:val="008226F4"/>
    <w:rsid w:val="00824F9B"/>
    <w:rsid w:val="008257CA"/>
    <w:rsid w:val="00830CD2"/>
    <w:rsid w:val="00830F55"/>
    <w:rsid w:val="0083266B"/>
    <w:rsid w:val="00835AC8"/>
    <w:rsid w:val="00842D23"/>
    <w:rsid w:val="00847330"/>
    <w:rsid w:val="00852825"/>
    <w:rsid w:val="00860285"/>
    <w:rsid w:val="0086138B"/>
    <w:rsid w:val="008644F4"/>
    <w:rsid w:val="008651F2"/>
    <w:rsid w:val="00866441"/>
    <w:rsid w:val="00866BC1"/>
    <w:rsid w:val="00867B9F"/>
    <w:rsid w:val="00870488"/>
    <w:rsid w:val="00873F5A"/>
    <w:rsid w:val="0088564D"/>
    <w:rsid w:val="00887984"/>
    <w:rsid w:val="008900C9"/>
    <w:rsid w:val="00891C94"/>
    <w:rsid w:val="00893522"/>
    <w:rsid w:val="00895998"/>
    <w:rsid w:val="0089712A"/>
    <w:rsid w:val="008A27CD"/>
    <w:rsid w:val="008A2A05"/>
    <w:rsid w:val="008A32DD"/>
    <w:rsid w:val="008A7448"/>
    <w:rsid w:val="008A7DF4"/>
    <w:rsid w:val="008B1220"/>
    <w:rsid w:val="008B2559"/>
    <w:rsid w:val="008B25D3"/>
    <w:rsid w:val="008B7132"/>
    <w:rsid w:val="008C58DA"/>
    <w:rsid w:val="008C6B8D"/>
    <w:rsid w:val="008C701B"/>
    <w:rsid w:val="008C760B"/>
    <w:rsid w:val="008D16AC"/>
    <w:rsid w:val="008D339C"/>
    <w:rsid w:val="008D3CD9"/>
    <w:rsid w:val="008D5FCA"/>
    <w:rsid w:val="008D7358"/>
    <w:rsid w:val="008D7532"/>
    <w:rsid w:val="008E35EE"/>
    <w:rsid w:val="008E45A6"/>
    <w:rsid w:val="008E4638"/>
    <w:rsid w:val="008E4E4F"/>
    <w:rsid w:val="008E6A12"/>
    <w:rsid w:val="008E7A11"/>
    <w:rsid w:val="008F02AE"/>
    <w:rsid w:val="008F07C0"/>
    <w:rsid w:val="008F0D93"/>
    <w:rsid w:val="008F19F3"/>
    <w:rsid w:val="008F1DD0"/>
    <w:rsid w:val="008F308D"/>
    <w:rsid w:val="008F35D1"/>
    <w:rsid w:val="008F4860"/>
    <w:rsid w:val="008F4F12"/>
    <w:rsid w:val="008F59C7"/>
    <w:rsid w:val="008F7B89"/>
    <w:rsid w:val="00900CD4"/>
    <w:rsid w:val="00900ECC"/>
    <w:rsid w:val="00903666"/>
    <w:rsid w:val="00903E58"/>
    <w:rsid w:val="00904F1D"/>
    <w:rsid w:val="00911F68"/>
    <w:rsid w:val="0091251C"/>
    <w:rsid w:val="00913A59"/>
    <w:rsid w:val="00913C64"/>
    <w:rsid w:val="00922805"/>
    <w:rsid w:val="00923A4C"/>
    <w:rsid w:val="00924625"/>
    <w:rsid w:val="00926BD6"/>
    <w:rsid w:val="00927E63"/>
    <w:rsid w:val="0093372E"/>
    <w:rsid w:val="00933D7A"/>
    <w:rsid w:val="0093569B"/>
    <w:rsid w:val="00937AE6"/>
    <w:rsid w:val="009430AE"/>
    <w:rsid w:val="009434E5"/>
    <w:rsid w:val="00946C11"/>
    <w:rsid w:val="0094793D"/>
    <w:rsid w:val="0095099F"/>
    <w:rsid w:val="00950E9B"/>
    <w:rsid w:val="009526B4"/>
    <w:rsid w:val="00953692"/>
    <w:rsid w:val="009554DE"/>
    <w:rsid w:val="009601E0"/>
    <w:rsid w:val="00960A9C"/>
    <w:rsid w:val="00962914"/>
    <w:rsid w:val="00963C43"/>
    <w:rsid w:val="00964920"/>
    <w:rsid w:val="00967BF7"/>
    <w:rsid w:val="00967E7F"/>
    <w:rsid w:val="0097018F"/>
    <w:rsid w:val="00971429"/>
    <w:rsid w:val="00971610"/>
    <w:rsid w:val="00975B44"/>
    <w:rsid w:val="0097604A"/>
    <w:rsid w:val="00976916"/>
    <w:rsid w:val="00976DE3"/>
    <w:rsid w:val="009771DF"/>
    <w:rsid w:val="00983A2C"/>
    <w:rsid w:val="00985CA3"/>
    <w:rsid w:val="00990F1A"/>
    <w:rsid w:val="00991E8C"/>
    <w:rsid w:val="0099306E"/>
    <w:rsid w:val="00993DA9"/>
    <w:rsid w:val="00994C54"/>
    <w:rsid w:val="00994D38"/>
    <w:rsid w:val="009A0811"/>
    <w:rsid w:val="009A397A"/>
    <w:rsid w:val="009A42C6"/>
    <w:rsid w:val="009A4AD3"/>
    <w:rsid w:val="009B1813"/>
    <w:rsid w:val="009B397D"/>
    <w:rsid w:val="009B753C"/>
    <w:rsid w:val="009C0156"/>
    <w:rsid w:val="009C2D10"/>
    <w:rsid w:val="009C3677"/>
    <w:rsid w:val="009C4CD4"/>
    <w:rsid w:val="009C54C6"/>
    <w:rsid w:val="009C73AD"/>
    <w:rsid w:val="009C7583"/>
    <w:rsid w:val="009D2732"/>
    <w:rsid w:val="009D3291"/>
    <w:rsid w:val="009D537B"/>
    <w:rsid w:val="009E3A43"/>
    <w:rsid w:val="009E59D8"/>
    <w:rsid w:val="009E67F8"/>
    <w:rsid w:val="009F1A01"/>
    <w:rsid w:val="009F3583"/>
    <w:rsid w:val="009F40E9"/>
    <w:rsid w:val="009F4BFF"/>
    <w:rsid w:val="009F5612"/>
    <w:rsid w:val="009F7D08"/>
    <w:rsid w:val="00A00929"/>
    <w:rsid w:val="00A024A0"/>
    <w:rsid w:val="00A04CF9"/>
    <w:rsid w:val="00A067A3"/>
    <w:rsid w:val="00A07507"/>
    <w:rsid w:val="00A10AD9"/>
    <w:rsid w:val="00A1298F"/>
    <w:rsid w:val="00A12A92"/>
    <w:rsid w:val="00A151C7"/>
    <w:rsid w:val="00A159CF"/>
    <w:rsid w:val="00A1665F"/>
    <w:rsid w:val="00A1783C"/>
    <w:rsid w:val="00A2117F"/>
    <w:rsid w:val="00A21940"/>
    <w:rsid w:val="00A226EA"/>
    <w:rsid w:val="00A22855"/>
    <w:rsid w:val="00A22F73"/>
    <w:rsid w:val="00A25476"/>
    <w:rsid w:val="00A257A5"/>
    <w:rsid w:val="00A263C5"/>
    <w:rsid w:val="00A26544"/>
    <w:rsid w:val="00A279A9"/>
    <w:rsid w:val="00A30CB7"/>
    <w:rsid w:val="00A31E5F"/>
    <w:rsid w:val="00A32178"/>
    <w:rsid w:val="00A332F4"/>
    <w:rsid w:val="00A33E37"/>
    <w:rsid w:val="00A34B96"/>
    <w:rsid w:val="00A35DB4"/>
    <w:rsid w:val="00A36AF4"/>
    <w:rsid w:val="00A43183"/>
    <w:rsid w:val="00A43766"/>
    <w:rsid w:val="00A45ECD"/>
    <w:rsid w:val="00A46F8B"/>
    <w:rsid w:val="00A51746"/>
    <w:rsid w:val="00A56469"/>
    <w:rsid w:val="00A56CD2"/>
    <w:rsid w:val="00A57F79"/>
    <w:rsid w:val="00A603A1"/>
    <w:rsid w:val="00A60FD8"/>
    <w:rsid w:val="00A61D82"/>
    <w:rsid w:val="00A63C5F"/>
    <w:rsid w:val="00A64B88"/>
    <w:rsid w:val="00A64E5F"/>
    <w:rsid w:val="00A71E56"/>
    <w:rsid w:val="00A72311"/>
    <w:rsid w:val="00A7489E"/>
    <w:rsid w:val="00A7707E"/>
    <w:rsid w:val="00A83F68"/>
    <w:rsid w:val="00A86261"/>
    <w:rsid w:val="00A9373B"/>
    <w:rsid w:val="00A94B40"/>
    <w:rsid w:val="00A973E7"/>
    <w:rsid w:val="00A97B9B"/>
    <w:rsid w:val="00AA134A"/>
    <w:rsid w:val="00AA2753"/>
    <w:rsid w:val="00AA5050"/>
    <w:rsid w:val="00AA6027"/>
    <w:rsid w:val="00AA6C8D"/>
    <w:rsid w:val="00AA6E52"/>
    <w:rsid w:val="00AB0433"/>
    <w:rsid w:val="00AB054B"/>
    <w:rsid w:val="00AB2B42"/>
    <w:rsid w:val="00AB758B"/>
    <w:rsid w:val="00AC28ED"/>
    <w:rsid w:val="00AC2F1B"/>
    <w:rsid w:val="00AC377A"/>
    <w:rsid w:val="00AC6FE1"/>
    <w:rsid w:val="00AD2120"/>
    <w:rsid w:val="00AD3D17"/>
    <w:rsid w:val="00AD4C04"/>
    <w:rsid w:val="00AE172A"/>
    <w:rsid w:val="00AE78FC"/>
    <w:rsid w:val="00AF0F93"/>
    <w:rsid w:val="00AF1BD5"/>
    <w:rsid w:val="00AF262F"/>
    <w:rsid w:val="00AF2C08"/>
    <w:rsid w:val="00AF41BA"/>
    <w:rsid w:val="00AF42E6"/>
    <w:rsid w:val="00AF476D"/>
    <w:rsid w:val="00AF522B"/>
    <w:rsid w:val="00B0335E"/>
    <w:rsid w:val="00B036F7"/>
    <w:rsid w:val="00B03E82"/>
    <w:rsid w:val="00B0443A"/>
    <w:rsid w:val="00B136FC"/>
    <w:rsid w:val="00B20905"/>
    <w:rsid w:val="00B21567"/>
    <w:rsid w:val="00B26731"/>
    <w:rsid w:val="00B2783D"/>
    <w:rsid w:val="00B315F1"/>
    <w:rsid w:val="00B3165E"/>
    <w:rsid w:val="00B33BCF"/>
    <w:rsid w:val="00B34BC8"/>
    <w:rsid w:val="00B3681F"/>
    <w:rsid w:val="00B36C97"/>
    <w:rsid w:val="00B36ED8"/>
    <w:rsid w:val="00B4122A"/>
    <w:rsid w:val="00B43816"/>
    <w:rsid w:val="00B45D20"/>
    <w:rsid w:val="00B53B09"/>
    <w:rsid w:val="00B56682"/>
    <w:rsid w:val="00B579F6"/>
    <w:rsid w:val="00B62626"/>
    <w:rsid w:val="00B7032C"/>
    <w:rsid w:val="00B704F0"/>
    <w:rsid w:val="00B708C6"/>
    <w:rsid w:val="00B711C9"/>
    <w:rsid w:val="00B74F79"/>
    <w:rsid w:val="00B754B9"/>
    <w:rsid w:val="00B76331"/>
    <w:rsid w:val="00B76DA6"/>
    <w:rsid w:val="00B8141A"/>
    <w:rsid w:val="00B84A5C"/>
    <w:rsid w:val="00B85BE7"/>
    <w:rsid w:val="00B8698D"/>
    <w:rsid w:val="00B8783B"/>
    <w:rsid w:val="00B961A8"/>
    <w:rsid w:val="00B968A3"/>
    <w:rsid w:val="00B97458"/>
    <w:rsid w:val="00BA3398"/>
    <w:rsid w:val="00BA4461"/>
    <w:rsid w:val="00BA45CC"/>
    <w:rsid w:val="00BA6987"/>
    <w:rsid w:val="00BA6A62"/>
    <w:rsid w:val="00BA6B14"/>
    <w:rsid w:val="00BB19BC"/>
    <w:rsid w:val="00BC0878"/>
    <w:rsid w:val="00BC1E8E"/>
    <w:rsid w:val="00BC311B"/>
    <w:rsid w:val="00BC3CF1"/>
    <w:rsid w:val="00BC5B81"/>
    <w:rsid w:val="00BC6672"/>
    <w:rsid w:val="00BC6BAC"/>
    <w:rsid w:val="00BD0F10"/>
    <w:rsid w:val="00BD1861"/>
    <w:rsid w:val="00BD3FA8"/>
    <w:rsid w:val="00BD6523"/>
    <w:rsid w:val="00BD7443"/>
    <w:rsid w:val="00BE188F"/>
    <w:rsid w:val="00BE49EC"/>
    <w:rsid w:val="00BE682C"/>
    <w:rsid w:val="00BE7F62"/>
    <w:rsid w:val="00BF005A"/>
    <w:rsid w:val="00BF1C9F"/>
    <w:rsid w:val="00BF2B8F"/>
    <w:rsid w:val="00BF4FFD"/>
    <w:rsid w:val="00C01DBF"/>
    <w:rsid w:val="00C0252E"/>
    <w:rsid w:val="00C0394F"/>
    <w:rsid w:val="00C10D12"/>
    <w:rsid w:val="00C1164D"/>
    <w:rsid w:val="00C12D81"/>
    <w:rsid w:val="00C156B8"/>
    <w:rsid w:val="00C15C26"/>
    <w:rsid w:val="00C172F8"/>
    <w:rsid w:val="00C20769"/>
    <w:rsid w:val="00C21E1B"/>
    <w:rsid w:val="00C27C2C"/>
    <w:rsid w:val="00C31FBA"/>
    <w:rsid w:val="00C37195"/>
    <w:rsid w:val="00C40055"/>
    <w:rsid w:val="00C41DBA"/>
    <w:rsid w:val="00C41E91"/>
    <w:rsid w:val="00C44014"/>
    <w:rsid w:val="00C44C9C"/>
    <w:rsid w:val="00C453B0"/>
    <w:rsid w:val="00C47F83"/>
    <w:rsid w:val="00C51FB4"/>
    <w:rsid w:val="00C54697"/>
    <w:rsid w:val="00C61CE6"/>
    <w:rsid w:val="00C634FD"/>
    <w:rsid w:val="00C643DC"/>
    <w:rsid w:val="00C64C10"/>
    <w:rsid w:val="00C6788F"/>
    <w:rsid w:val="00C72DD8"/>
    <w:rsid w:val="00C75086"/>
    <w:rsid w:val="00C758E2"/>
    <w:rsid w:val="00C77383"/>
    <w:rsid w:val="00C82011"/>
    <w:rsid w:val="00C95E70"/>
    <w:rsid w:val="00C979BF"/>
    <w:rsid w:val="00CA37AC"/>
    <w:rsid w:val="00CA454C"/>
    <w:rsid w:val="00CA502A"/>
    <w:rsid w:val="00CB1ED3"/>
    <w:rsid w:val="00CB2402"/>
    <w:rsid w:val="00CB2B7F"/>
    <w:rsid w:val="00CB3974"/>
    <w:rsid w:val="00CB411C"/>
    <w:rsid w:val="00CB4238"/>
    <w:rsid w:val="00CB6A1C"/>
    <w:rsid w:val="00CC038D"/>
    <w:rsid w:val="00CC4D18"/>
    <w:rsid w:val="00CC6116"/>
    <w:rsid w:val="00CC79DC"/>
    <w:rsid w:val="00CD2192"/>
    <w:rsid w:val="00CD31CE"/>
    <w:rsid w:val="00CD4144"/>
    <w:rsid w:val="00CD5700"/>
    <w:rsid w:val="00CD5FD1"/>
    <w:rsid w:val="00CD621F"/>
    <w:rsid w:val="00CD64F6"/>
    <w:rsid w:val="00CD6BAD"/>
    <w:rsid w:val="00CE2BFE"/>
    <w:rsid w:val="00CE38EA"/>
    <w:rsid w:val="00CE447E"/>
    <w:rsid w:val="00CE6352"/>
    <w:rsid w:val="00CE69F4"/>
    <w:rsid w:val="00CF0128"/>
    <w:rsid w:val="00CF108B"/>
    <w:rsid w:val="00CF1886"/>
    <w:rsid w:val="00CF20C3"/>
    <w:rsid w:val="00CF4B83"/>
    <w:rsid w:val="00CF6332"/>
    <w:rsid w:val="00D04857"/>
    <w:rsid w:val="00D04F16"/>
    <w:rsid w:val="00D07BB6"/>
    <w:rsid w:val="00D10115"/>
    <w:rsid w:val="00D12A46"/>
    <w:rsid w:val="00D12AB3"/>
    <w:rsid w:val="00D15640"/>
    <w:rsid w:val="00D15EB9"/>
    <w:rsid w:val="00D17621"/>
    <w:rsid w:val="00D179F7"/>
    <w:rsid w:val="00D20154"/>
    <w:rsid w:val="00D20B79"/>
    <w:rsid w:val="00D22DED"/>
    <w:rsid w:val="00D22F62"/>
    <w:rsid w:val="00D25A23"/>
    <w:rsid w:val="00D26E29"/>
    <w:rsid w:val="00D3135F"/>
    <w:rsid w:val="00D31444"/>
    <w:rsid w:val="00D31647"/>
    <w:rsid w:val="00D34B9D"/>
    <w:rsid w:val="00D35F81"/>
    <w:rsid w:val="00D36AEA"/>
    <w:rsid w:val="00D3707D"/>
    <w:rsid w:val="00D37969"/>
    <w:rsid w:val="00D45E80"/>
    <w:rsid w:val="00D46D14"/>
    <w:rsid w:val="00D56FC9"/>
    <w:rsid w:val="00D62CE1"/>
    <w:rsid w:val="00D64A0C"/>
    <w:rsid w:val="00D657E6"/>
    <w:rsid w:val="00D66E68"/>
    <w:rsid w:val="00D67505"/>
    <w:rsid w:val="00D71B0B"/>
    <w:rsid w:val="00D75131"/>
    <w:rsid w:val="00D752CB"/>
    <w:rsid w:val="00D75C27"/>
    <w:rsid w:val="00D75FBC"/>
    <w:rsid w:val="00D77309"/>
    <w:rsid w:val="00D80CBC"/>
    <w:rsid w:val="00D87D6D"/>
    <w:rsid w:val="00D92E8A"/>
    <w:rsid w:val="00D953C2"/>
    <w:rsid w:val="00D95C62"/>
    <w:rsid w:val="00DA3641"/>
    <w:rsid w:val="00DA62BD"/>
    <w:rsid w:val="00DA788C"/>
    <w:rsid w:val="00DB0A9E"/>
    <w:rsid w:val="00DB296C"/>
    <w:rsid w:val="00DB4F05"/>
    <w:rsid w:val="00DB54AE"/>
    <w:rsid w:val="00DB7E6F"/>
    <w:rsid w:val="00DC0AA2"/>
    <w:rsid w:val="00DC1658"/>
    <w:rsid w:val="00DC337E"/>
    <w:rsid w:val="00DC47BE"/>
    <w:rsid w:val="00DC528E"/>
    <w:rsid w:val="00DC7EE7"/>
    <w:rsid w:val="00DD103F"/>
    <w:rsid w:val="00DD2116"/>
    <w:rsid w:val="00DD2BE8"/>
    <w:rsid w:val="00DD2D01"/>
    <w:rsid w:val="00DD3A14"/>
    <w:rsid w:val="00DD4AD0"/>
    <w:rsid w:val="00DD4AE5"/>
    <w:rsid w:val="00DD60AA"/>
    <w:rsid w:val="00DE072F"/>
    <w:rsid w:val="00DE16A4"/>
    <w:rsid w:val="00DE2314"/>
    <w:rsid w:val="00DE406C"/>
    <w:rsid w:val="00DE51BF"/>
    <w:rsid w:val="00DE55C1"/>
    <w:rsid w:val="00DE55D3"/>
    <w:rsid w:val="00DE6205"/>
    <w:rsid w:val="00DE62C1"/>
    <w:rsid w:val="00DE655F"/>
    <w:rsid w:val="00DF021E"/>
    <w:rsid w:val="00DF1DA8"/>
    <w:rsid w:val="00DF255A"/>
    <w:rsid w:val="00DF6EBA"/>
    <w:rsid w:val="00E01D7C"/>
    <w:rsid w:val="00E034FE"/>
    <w:rsid w:val="00E03A17"/>
    <w:rsid w:val="00E040E8"/>
    <w:rsid w:val="00E06C2B"/>
    <w:rsid w:val="00E06C81"/>
    <w:rsid w:val="00E1266E"/>
    <w:rsid w:val="00E1589C"/>
    <w:rsid w:val="00E177B8"/>
    <w:rsid w:val="00E21199"/>
    <w:rsid w:val="00E220B1"/>
    <w:rsid w:val="00E242CF"/>
    <w:rsid w:val="00E25291"/>
    <w:rsid w:val="00E255E4"/>
    <w:rsid w:val="00E25D1D"/>
    <w:rsid w:val="00E30F14"/>
    <w:rsid w:val="00E3116F"/>
    <w:rsid w:val="00E31748"/>
    <w:rsid w:val="00E33DA1"/>
    <w:rsid w:val="00E401DE"/>
    <w:rsid w:val="00E416F7"/>
    <w:rsid w:val="00E44D2D"/>
    <w:rsid w:val="00E51B5C"/>
    <w:rsid w:val="00E51EFA"/>
    <w:rsid w:val="00E52D41"/>
    <w:rsid w:val="00E52DA7"/>
    <w:rsid w:val="00E54EB3"/>
    <w:rsid w:val="00E555D6"/>
    <w:rsid w:val="00E564A5"/>
    <w:rsid w:val="00E57A07"/>
    <w:rsid w:val="00E6090C"/>
    <w:rsid w:val="00E630CC"/>
    <w:rsid w:val="00E67309"/>
    <w:rsid w:val="00E713E3"/>
    <w:rsid w:val="00E724F6"/>
    <w:rsid w:val="00E73346"/>
    <w:rsid w:val="00E740E4"/>
    <w:rsid w:val="00E74594"/>
    <w:rsid w:val="00E74F2B"/>
    <w:rsid w:val="00E75ED5"/>
    <w:rsid w:val="00E7664C"/>
    <w:rsid w:val="00E76C2A"/>
    <w:rsid w:val="00E77491"/>
    <w:rsid w:val="00E84C6B"/>
    <w:rsid w:val="00E85935"/>
    <w:rsid w:val="00E97C4C"/>
    <w:rsid w:val="00EA1DD7"/>
    <w:rsid w:val="00EA242E"/>
    <w:rsid w:val="00EA2499"/>
    <w:rsid w:val="00EA4925"/>
    <w:rsid w:val="00EB05ED"/>
    <w:rsid w:val="00EB1636"/>
    <w:rsid w:val="00EB16CA"/>
    <w:rsid w:val="00EB1F73"/>
    <w:rsid w:val="00EB2D08"/>
    <w:rsid w:val="00EB5827"/>
    <w:rsid w:val="00EB5A39"/>
    <w:rsid w:val="00EB7004"/>
    <w:rsid w:val="00EC0042"/>
    <w:rsid w:val="00EC0906"/>
    <w:rsid w:val="00EC0F45"/>
    <w:rsid w:val="00EC4E4F"/>
    <w:rsid w:val="00EC7FE3"/>
    <w:rsid w:val="00ED0257"/>
    <w:rsid w:val="00ED595E"/>
    <w:rsid w:val="00ED5C2C"/>
    <w:rsid w:val="00ED5D9B"/>
    <w:rsid w:val="00ED5ED4"/>
    <w:rsid w:val="00ED70E8"/>
    <w:rsid w:val="00ED7836"/>
    <w:rsid w:val="00EE3AB3"/>
    <w:rsid w:val="00EE3DD7"/>
    <w:rsid w:val="00EE7770"/>
    <w:rsid w:val="00EF055F"/>
    <w:rsid w:val="00EF234C"/>
    <w:rsid w:val="00EF5857"/>
    <w:rsid w:val="00EF64D6"/>
    <w:rsid w:val="00F012B9"/>
    <w:rsid w:val="00F107F2"/>
    <w:rsid w:val="00F10971"/>
    <w:rsid w:val="00F12C7D"/>
    <w:rsid w:val="00F13C13"/>
    <w:rsid w:val="00F14A08"/>
    <w:rsid w:val="00F158FF"/>
    <w:rsid w:val="00F1593D"/>
    <w:rsid w:val="00F1746A"/>
    <w:rsid w:val="00F2173B"/>
    <w:rsid w:val="00F237B1"/>
    <w:rsid w:val="00F252EA"/>
    <w:rsid w:val="00F26BB1"/>
    <w:rsid w:val="00F3380C"/>
    <w:rsid w:val="00F34199"/>
    <w:rsid w:val="00F37871"/>
    <w:rsid w:val="00F40194"/>
    <w:rsid w:val="00F424A2"/>
    <w:rsid w:val="00F42610"/>
    <w:rsid w:val="00F430F5"/>
    <w:rsid w:val="00F4316C"/>
    <w:rsid w:val="00F50BDA"/>
    <w:rsid w:val="00F511B2"/>
    <w:rsid w:val="00F53877"/>
    <w:rsid w:val="00F57454"/>
    <w:rsid w:val="00F576CD"/>
    <w:rsid w:val="00F6005A"/>
    <w:rsid w:val="00F618E0"/>
    <w:rsid w:val="00F62DB5"/>
    <w:rsid w:val="00F634B4"/>
    <w:rsid w:val="00F665E0"/>
    <w:rsid w:val="00F66DE9"/>
    <w:rsid w:val="00F66FEB"/>
    <w:rsid w:val="00F77916"/>
    <w:rsid w:val="00F81837"/>
    <w:rsid w:val="00F83832"/>
    <w:rsid w:val="00F8417F"/>
    <w:rsid w:val="00F84FFB"/>
    <w:rsid w:val="00F90A38"/>
    <w:rsid w:val="00F91589"/>
    <w:rsid w:val="00F925FD"/>
    <w:rsid w:val="00F937E4"/>
    <w:rsid w:val="00F94D94"/>
    <w:rsid w:val="00F95302"/>
    <w:rsid w:val="00F95C22"/>
    <w:rsid w:val="00F97897"/>
    <w:rsid w:val="00F97CC2"/>
    <w:rsid w:val="00FA067E"/>
    <w:rsid w:val="00FA115E"/>
    <w:rsid w:val="00FA4F35"/>
    <w:rsid w:val="00FA6009"/>
    <w:rsid w:val="00FB16FD"/>
    <w:rsid w:val="00FB3C92"/>
    <w:rsid w:val="00FB577C"/>
    <w:rsid w:val="00FC018A"/>
    <w:rsid w:val="00FC351D"/>
    <w:rsid w:val="00FC3ECC"/>
    <w:rsid w:val="00FC4585"/>
    <w:rsid w:val="00FC6DC0"/>
    <w:rsid w:val="00FD69F2"/>
    <w:rsid w:val="00FD6CF9"/>
    <w:rsid w:val="00FD75E7"/>
    <w:rsid w:val="00FD7B04"/>
    <w:rsid w:val="00FE3C7D"/>
    <w:rsid w:val="00FE6552"/>
    <w:rsid w:val="00FF6022"/>
    <w:rsid w:val="02CF33D1"/>
    <w:rsid w:val="04A47BE1"/>
    <w:rsid w:val="04BF5FE8"/>
    <w:rsid w:val="0532391A"/>
    <w:rsid w:val="05E54404"/>
    <w:rsid w:val="0646775F"/>
    <w:rsid w:val="065B0F41"/>
    <w:rsid w:val="08F4000A"/>
    <w:rsid w:val="097C29F7"/>
    <w:rsid w:val="0BA67166"/>
    <w:rsid w:val="0BD93BB3"/>
    <w:rsid w:val="0CC1430F"/>
    <w:rsid w:val="0D592CA9"/>
    <w:rsid w:val="0D6F118A"/>
    <w:rsid w:val="0DBF249A"/>
    <w:rsid w:val="0EF92850"/>
    <w:rsid w:val="102A3C05"/>
    <w:rsid w:val="107F6B73"/>
    <w:rsid w:val="10CA6D00"/>
    <w:rsid w:val="11B91E60"/>
    <w:rsid w:val="12F20FDC"/>
    <w:rsid w:val="13BD6054"/>
    <w:rsid w:val="13C6382A"/>
    <w:rsid w:val="14045F4D"/>
    <w:rsid w:val="14D462A4"/>
    <w:rsid w:val="15525720"/>
    <w:rsid w:val="15634F14"/>
    <w:rsid w:val="17355C67"/>
    <w:rsid w:val="179003FC"/>
    <w:rsid w:val="17B6575C"/>
    <w:rsid w:val="1877553C"/>
    <w:rsid w:val="189969FE"/>
    <w:rsid w:val="19E00BF7"/>
    <w:rsid w:val="1A890169"/>
    <w:rsid w:val="1ABC13C9"/>
    <w:rsid w:val="1C204CEF"/>
    <w:rsid w:val="1D8C53F9"/>
    <w:rsid w:val="1E9E09C0"/>
    <w:rsid w:val="1EA41468"/>
    <w:rsid w:val="20E70929"/>
    <w:rsid w:val="21761C30"/>
    <w:rsid w:val="21CE350C"/>
    <w:rsid w:val="22650FCA"/>
    <w:rsid w:val="23A0206B"/>
    <w:rsid w:val="24415AB1"/>
    <w:rsid w:val="246D6EB5"/>
    <w:rsid w:val="249541BB"/>
    <w:rsid w:val="256727D6"/>
    <w:rsid w:val="25C12B29"/>
    <w:rsid w:val="26420A5E"/>
    <w:rsid w:val="274709CA"/>
    <w:rsid w:val="27754521"/>
    <w:rsid w:val="27E16345"/>
    <w:rsid w:val="28F96E9A"/>
    <w:rsid w:val="29186A88"/>
    <w:rsid w:val="29247CBF"/>
    <w:rsid w:val="29BF1C98"/>
    <w:rsid w:val="2B005623"/>
    <w:rsid w:val="2B542D52"/>
    <w:rsid w:val="2BC40021"/>
    <w:rsid w:val="2C062F43"/>
    <w:rsid w:val="2D70111B"/>
    <w:rsid w:val="2D8F78BB"/>
    <w:rsid w:val="30460314"/>
    <w:rsid w:val="30511F0C"/>
    <w:rsid w:val="30B33BA3"/>
    <w:rsid w:val="32404D1D"/>
    <w:rsid w:val="329C180D"/>
    <w:rsid w:val="32B305F3"/>
    <w:rsid w:val="32B77188"/>
    <w:rsid w:val="33481D23"/>
    <w:rsid w:val="33ED58F1"/>
    <w:rsid w:val="34910D3D"/>
    <w:rsid w:val="349E4587"/>
    <w:rsid w:val="356A7437"/>
    <w:rsid w:val="3574748D"/>
    <w:rsid w:val="36F31F7D"/>
    <w:rsid w:val="3A5423D6"/>
    <w:rsid w:val="3D1C054A"/>
    <w:rsid w:val="3D3B1AC9"/>
    <w:rsid w:val="3D9D1520"/>
    <w:rsid w:val="3DDA3F81"/>
    <w:rsid w:val="3DF22185"/>
    <w:rsid w:val="3E173106"/>
    <w:rsid w:val="3E504BB5"/>
    <w:rsid w:val="3ED16FB4"/>
    <w:rsid w:val="3F42378F"/>
    <w:rsid w:val="3FB247E8"/>
    <w:rsid w:val="3FFF20D6"/>
    <w:rsid w:val="41DC78BB"/>
    <w:rsid w:val="41E92AFE"/>
    <w:rsid w:val="424242E9"/>
    <w:rsid w:val="431234DF"/>
    <w:rsid w:val="43E60018"/>
    <w:rsid w:val="442F1FE4"/>
    <w:rsid w:val="456D6251"/>
    <w:rsid w:val="46D51FC9"/>
    <w:rsid w:val="46F52E09"/>
    <w:rsid w:val="471763B6"/>
    <w:rsid w:val="47ED2091"/>
    <w:rsid w:val="483121C9"/>
    <w:rsid w:val="48810872"/>
    <w:rsid w:val="491C64EF"/>
    <w:rsid w:val="497C7FFE"/>
    <w:rsid w:val="4A5D3D80"/>
    <w:rsid w:val="4A5D5DC2"/>
    <w:rsid w:val="4A7A5939"/>
    <w:rsid w:val="4B085A0C"/>
    <w:rsid w:val="4C394266"/>
    <w:rsid w:val="4C8C256C"/>
    <w:rsid w:val="4CF37E3D"/>
    <w:rsid w:val="4E6B422E"/>
    <w:rsid w:val="4FD03C75"/>
    <w:rsid w:val="51A531EC"/>
    <w:rsid w:val="5276671B"/>
    <w:rsid w:val="528E6202"/>
    <w:rsid w:val="529711C7"/>
    <w:rsid w:val="535C6976"/>
    <w:rsid w:val="537514BA"/>
    <w:rsid w:val="5ACB5DCD"/>
    <w:rsid w:val="5B0B6A56"/>
    <w:rsid w:val="5B603B1D"/>
    <w:rsid w:val="5D8D77B1"/>
    <w:rsid w:val="5E7218DC"/>
    <w:rsid w:val="5F7E4E1F"/>
    <w:rsid w:val="5FC45DCA"/>
    <w:rsid w:val="60A50108"/>
    <w:rsid w:val="60CD0431"/>
    <w:rsid w:val="61DE4B40"/>
    <w:rsid w:val="63EE7B4B"/>
    <w:rsid w:val="642B700E"/>
    <w:rsid w:val="64E50D7C"/>
    <w:rsid w:val="66701BF3"/>
    <w:rsid w:val="67C1759E"/>
    <w:rsid w:val="67FE122C"/>
    <w:rsid w:val="6A272885"/>
    <w:rsid w:val="6B113B0F"/>
    <w:rsid w:val="6B404A6C"/>
    <w:rsid w:val="6B973EC4"/>
    <w:rsid w:val="6C3E0B1B"/>
    <w:rsid w:val="6C575D90"/>
    <w:rsid w:val="6D1B4E79"/>
    <w:rsid w:val="6D575EF8"/>
    <w:rsid w:val="6EC31417"/>
    <w:rsid w:val="6EE321ED"/>
    <w:rsid w:val="6F276A7C"/>
    <w:rsid w:val="70331E75"/>
    <w:rsid w:val="70403625"/>
    <w:rsid w:val="70FA745A"/>
    <w:rsid w:val="72BB7B17"/>
    <w:rsid w:val="73FF2845"/>
    <w:rsid w:val="74462428"/>
    <w:rsid w:val="74EF3314"/>
    <w:rsid w:val="764B3DB8"/>
    <w:rsid w:val="777B9AC5"/>
    <w:rsid w:val="785969A4"/>
    <w:rsid w:val="79127C41"/>
    <w:rsid w:val="797D6447"/>
    <w:rsid w:val="79E42835"/>
    <w:rsid w:val="7CBB7763"/>
    <w:rsid w:val="7EAF6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EE8FBC3-BB98-4A9B-B97A-049EFBD79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2">
    <w:name w:val="heading 2"/>
    <w:basedOn w:val="a"/>
    <w:next w:val="a0"/>
    <w:link w:val="2Char"/>
    <w:qFormat/>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rPr>
      <w:rFonts w:ascii="Times New Roman" w:hAnsi="Times New Roman"/>
      <w:szCs w:val="24"/>
    </w:rPr>
  </w:style>
  <w:style w:type="paragraph" w:styleId="7">
    <w:name w:val="toc 7"/>
    <w:basedOn w:val="a"/>
    <w:next w:val="a"/>
    <w:qFormat/>
    <w:pPr>
      <w:ind w:leftChars="1200" w:left="2520"/>
    </w:pPr>
    <w:rPr>
      <w:rFonts w:ascii="Times New Roman" w:hAnsi="Times New Roman"/>
      <w:szCs w:val="24"/>
    </w:rPr>
  </w:style>
  <w:style w:type="paragraph" w:styleId="a4">
    <w:name w:val="annotation text"/>
    <w:basedOn w:val="a"/>
    <w:link w:val="Char"/>
    <w:qFormat/>
    <w:pPr>
      <w:jc w:val="left"/>
    </w:pPr>
    <w:rPr>
      <w:rFonts w:ascii="Times New Roman" w:hAnsi="Times New Roman"/>
      <w:szCs w:val="24"/>
    </w:rPr>
  </w:style>
  <w:style w:type="paragraph" w:styleId="a5">
    <w:name w:val="Body Text"/>
    <w:basedOn w:val="a"/>
    <w:link w:val="Char0"/>
    <w:qFormat/>
    <w:pPr>
      <w:spacing w:line="360" w:lineRule="auto"/>
    </w:pPr>
    <w:rPr>
      <w:rFonts w:ascii="仿宋_GB2312" w:eastAsia="仿宋_GB2312" w:hAnsi="Times New Roman"/>
      <w:color w:val="000000"/>
      <w:kern w:val="0"/>
      <w:sz w:val="24"/>
      <w:szCs w:val="28"/>
    </w:rPr>
  </w:style>
  <w:style w:type="paragraph" w:styleId="a6">
    <w:name w:val="Body Text Indent"/>
    <w:basedOn w:val="a"/>
    <w:link w:val="Char1"/>
    <w:qFormat/>
    <w:pPr>
      <w:adjustRightInd w:val="0"/>
      <w:snapToGrid w:val="0"/>
      <w:spacing w:line="560" w:lineRule="exact"/>
      <w:ind w:firstLineChars="200" w:firstLine="480"/>
    </w:pPr>
    <w:rPr>
      <w:rFonts w:ascii="Times New Roman" w:eastAsia="方正仿宋简体" w:hAnsi="Times New Roman"/>
      <w:sz w:val="24"/>
      <w:szCs w:val="30"/>
    </w:rPr>
  </w:style>
  <w:style w:type="paragraph" w:styleId="5">
    <w:name w:val="toc 5"/>
    <w:basedOn w:val="a"/>
    <w:next w:val="a"/>
    <w:qFormat/>
    <w:pPr>
      <w:ind w:leftChars="800" w:left="1680"/>
    </w:pPr>
    <w:rPr>
      <w:rFonts w:ascii="Times New Roman" w:hAnsi="Times New Roman"/>
      <w:szCs w:val="24"/>
    </w:rPr>
  </w:style>
  <w:style w:type="paragraph" w:styleId="3">
    <w:name w:val="toc 3"/>
    <w:basedOn w:val="a"/>
    <w:next w:val="a"/>
    <w:qFormat/>
    <w:pPr>
      <w:ind w:leftChars="400" w:left="840"/>
    </w:pPr>
    <w:rPr>
      <w:rFonts w:ascii="Times New Roman" w:hAnsi="Times New Roman"/>
      <w:szCs w:val="24"/>
    </w:rPr>
  </w:style>
  <w:style w:type="paragraph" w:styleId="8">
    <w:name w:val="toc 8"/>
    <w:basedOn w:val="a"/>
    <w:next w:val="a"/>
    <w:qFormat/>
    <w:pPr>
      <w:ind w:leftChars="1400" w:left="2940"/>
    </w:pPr>
    <w:rPr>
      <w:rFonts w:ascii="Times New Roman" w:hAnsi="Times New Roman"/>
      <w:szCs w:val="24"/>
    </w:rPr>
  </w:style>
  <w:style w:type="paragraph" w:styleId="20">
    <w:name w:val="Body Text Indent 2"/>
    <w:basedOn w:val="a"/>
    <w:link w:val="2Char0"/>
    <w:qFormat/>
    <w:pPr>
      <w:spacing w:line="360" w:lineRule="auto"/>
      <w:ind w:firstLine="525"/>
    </w:pPr>
    <w:rPr>
      <w:rFonts w:ascii="宋体" w:hAnsi="宋体"/>
      <w:sz w:val="28"/>
      <w:szCs w:val="20"/>
    </w:rPr>
  </w:style>
  <w:style w:type="paragraph" w:styleId="a7">
    <w:name w:val="Balloon Text"/>
    <w:basedOn w:val="a"/>
    <w:link w:val="Char2"/>
    <w:qFormat/>
    <w:rPr>
      <w:rFonts w:ascii="Times New Roman" w:hAnsi="Times New Roman"/>
      <w:sz w:val="18"/>
      <w:szCs w:val="18"/>
    </w:rPr>
  </w:style>
  <w:style w:type="paragraph" w:styleId="a8">
    <w:name w:val="footer"/>
    <w:basedOn w:val="a"/>
    <w:link w:val="Char3"/>
    <w:qFormat/>
    <w:pPr>
      <w:tabs>
        <w:tab w:val="center" w:pos="4153"/>
        <w:tab w:val="right" w:pos="8306"/>
      </w:tabs>
      <w:snapToGrid w:val="0"/>
      <w:jc w:val="left"/>
    </w:pPr>
    <w:rPr>
      <w:rFonts w:ascii="Times New Roman" w:hAnsi="Times New Roman"/>
      <w:sz w:val="18"/>
      <w:szCs w:val="18"/>
    </w:rPr>
  </w:style>
  <w:style w:type="paragraph" w:styleId="a9">
    <w:name w:val="header"/>
    <w:basedOn w:val="a"/>
    <w:link w:val="Char4"/>
    <w:qFormat/>
    <w:pPr>
      <w:pBdr>
        <w:bottom w:val="single" w:sz="6" w:space="1" w:color="auto"/>
      </w:pBdr>
      <w:tabs>
        <w:tab w:val="center" w:pos="4153"/>
        <w:tab w:val="right" w:pos="8306"/>
      </w:tabs>
      <w:snapToGrid w:val="0"/>
      <w:jc w:val="center"/>
    </w:pPr>
    <w:rPr>
      <w:rFonts w:ascii="Times New Roman" w:hAnsi="Times New Roman"/>
      <w:sz w:val="18"/>
      <w:szCs w:val="18"/>
    </w:rPr>
  </w:style>
  <w:style w:type="paragraph" w:styleId="1">
    <w:name w:val="toc 1"/>
    <w:basedOn w:val="a"/>
    <w:next w:val="a"/>
    <w:qFormat/>
    <w:rPr>
      <w:rFonts w:ascii="Times New Roman" w:hAnsi="Times New Roman"/>
      <w:szCs w:val="24"/>
    </w:rPr>
  </w:style>
  <w:style w:type="paragraph" w:styleId="4">
    <w:name w:val="toc 4"/>
    <w:basedOn w:val="a"/>
    <w:next w:val="a"/>
    <w:qFormat/>
    <w:pPr>
      <w:ind w:leftChars="600" w:left="1260"/>
    </w:pPr>
    <w:rPr>
      <w:rFonts w:ascii="Times New Roman" w:hAnsi="Times New Roman"/>
      <w:szCs w:val="24"/>
    </w:rPr>
  </w:style>
  <w:style w:type="paragraph" w:styleId="6">
    <w:name w:val="toc 6"/>
    <w:basedOn w:val="a"/>
    <w:next w:val="a"/>
    <w:qFormat/>
    <w:pPr>
      <w:ind w:leftChars="1000" w:left="2100"/>
    </w:pPr>
    <w:rPr>
      <w:rFonts w:ascii="Times New Roman" w:hAnsi="Times New Roman"/>
      <w:szCs w:val="24"/>
    </w:rPr>
  </w:style>
  <w:style w:type="paragraph" w:styleId="30">
    <w:name w:val="Body Text Indent 3"/>
    <w:basedOn w:val="a"/>
    <w:link w:val="3Char"/>
    <w:qFormat/>
    <w:pPr>
      <w:adjustRightInd w:val="0"/>
      <w:snapToGrid w:val="0"/>
      <w:ind w:firstLineChars="200" w:firstLine="480"/>
    </w:pPr>
    <w:rPr>
      <w:rFonts w:ascii="仿宋_GB2312" w:eastAsia="仿宋_GB2312" w:hAnsi="宋体" w:cs="Arial"/>
      <w:color w:val="000000"/>
      <w:sz w:val="24"/>
      <w:szCs w:val="24"/>
    </w:rPr>
  </w:style>
  <w:style w:type="paragraph" w:styleId="21">
    <w:name w:val="toc 2"/>
    <w:basedOn w:val="a"/>
    <w:next w:val="a"/>
    <w:qFormat/>
    <w:pPr>
      <w:tabs>
        <w:tab w:val="right" w:leader="dot" w:pos="8494"/>
      </w:tabs>
      <w:ind w:leftChars="200" w:left="420"/>
    </w:pPr>
    <w:rPr>
      <w:rFonts w:ascii="Times New Roman" w:hAnsi="Times New Roman"/>
      <w:szCs w:val="24"/>
    </w:rPr>
  </w:style>
  <w:style w:type="paragraph" w:styleId="9">
    <w:name w:val="toc 9"/>
    <w:basedOn w:val="a"/>
    <w:next w:val="a"/>
    <w:qFormat/>
    <w:pPr>
      <w:ind w:leftChars="1600" w:left="3360"/>
    </w:pPr>
    <w:rPr>
      <w:rFonts w:ascii="Times New Roman" w:hAnsi="Times New Roman"/>
      <w:szCs w:val="24"/>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a">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ab">
    <w:name w:val="annotation subject"/>
    <w:basedOn w:val="a4"/>
    <w:next w:val="a4"/>
    <w:link w:val="Char5"/>
    <w:qFormat/>
    <w:rPr>
      <w:rFonts w:ascii="Calibri" w:hAnsi="Calibri" w:cs="Calibri"/>
      <w:b/>
      <w:bCs/>
    </w:rPr>
  </w:style>
  <w:style w:type="character" w:styleId="ac">
    <w:name w:val="Strong"/>
    <w:qFormat/>
    <w:rPr>
      <w:rFonts w:ascii="Calibri" w:eastAsia="宋体" w:hAnsi="Calibri" w:cs="Calibri"/>
      <w:b/>
      <w:bCs/>
    </w:rPr>
  </w:style>
  <w:style w:type="character" w:styleId="ad">
    <w:name w:val="page number"/>
    <w:qFormat/>
    <w:rPr>
      <w:rFonts w:ascii="Calibri" w:eastAsia="宋体" w:hAnsi="Calibri" w:cs="Calibri"/>
    </w:rPr>
  </w:style>
  <w:style w:type="character" w:styleId="ae">
    <w:name w:val="FollowedHyperlink"/>
    <w:qFormat/>
    <w:rPr>
      <w:rFonts w:ascii="Calibri" w:eastAsia="宋体" w:hAnsi="Calibri" w:cs="Calibri"/>
      <w:color w:val="954F72"/>
      <w:u w:val="single"/>
    </w:rPr>
  </w:style>
  <w:style w:type="character" w:styleId="af">
    <w:name w:val="Hyperlink"/>
    <w:qFormat/>
    <w:rPr>
      <w:rFonts w:ascii="Calibri" w:eastAsia="宋体" w:hAnsi="Calibri" w:cs="Calibri"/>
      <w:color w:val="0000FF"/>
      <w:u w:val="single"/>
    </w:rPr>
  </w:style>
  <w:style w:type="character" w:styleId="af0">
    <w:name w:val="annotation reference"/>
    <w:uiPriority w:val="99"/>
    <w:qFormat/>
    <w:rPr>
      <w:rFonts w:ascii="Calibri" w:eastAsia="宋体" w:hAnsi="Calibri" w:cs="Calibri"/>
      <w:sz w:val="21"/>
      <w:szCs w:val="21"/>
    </w:rPr>
  </w:style>
  <w:style w:type="character" w:customStyle="1" w:styleId="2Char">
    <w:name w:val="标题 2 Char"/>
    <w:link w:val="2"/>
    <w:qFormat/>
    <w:rPr>
      <w:rFonts w:ascii="Arial" w:eastAsia="黑体" w:hAnsi="Arial" w:cs="Times New Roman"/>
      <w:b/>
      <w:sz w:val="32"/>
      <w:szCs w:val="20"/>
    </w:rPr>
  </w:style>
  <w:style w:type="character" w:customStyle="1" w:styleId="Char">
    <w:name w:val="批注文字 Char"/>
    <w:link w:val="a4"/>
    <w:qFormat/>
    <w:rPr>
      <w:rFonts w:ascii="Times New Roman" w:eastAsia="宋体" w:hAnsi="Times New Roman" w:cs="Times New Roman"/>
      <w:szCs w:val="24"/>
    </w:rPr>
  </w:style>
  <w:style w:type="character" w:customStyle="1" w:styleId="Char0">
    <w:name w:val="正文文本 Char"/>
    <w:link w:val="a5"/>
    <w:qFormat/>
    <w:rPr>
      <w:rFonts w:ascii="仿宋_GB2312" w:eastAsia="仿宋_GB2312" w:hAnsi="Times New Roman" w:cs="Times New Roman"/>
      <w:color w:val="000000"/>
      <w:kern w:val="0"/>
      <w:sz w:val="24"/>
      <w:szCs w:val="28"/>
    </w:rPr>
  </w:style>
  <w:style w:type="character" w:customStyle="1" w:styleId="Char1">
    <w:name w:val="正文文本缩进 Char"/>
    <w:link w:val="a6"/>
    <w:qFormat/>
    <w:rPr>
      <w:rFonts w:ascii="Times New Roman" w:eastAsia="方正仿宋简体" w:hAnsi="Times New Roman" w:cs="Times New Roman"/>
      <w:sz w:val="24"/>
      <w:szCs w:val="30"/>
    </w:rPr>
  </w:style>
  <w:style w:type="character" w:customStyle="1" w:styleId="2Char0">
    <w:name w:val="正文文本缩进 2 Char"/>
    <w:link w:val="20"/>
    <w:qFormat/>
    <w:rPr>
      <w:rFonts w:ascii="宋体" w:eastAsia="宋体" w:hAnsi="宋体" w:cs="Times New Roman"/>
      <w:sz w:val="28"/>
      <w:szCs w:val="20"/>
    </w:rPr>
  </w:style>
  <w:style w:type="character" w:customStyle="1" w:styleId="Char2">
    <w:name w:val="批注框文本 Char"/>
    <w:link w:val="a7"/>
    <w:qFormat/>
    <w:rPr>
      <w:rFonts w:ascii="Times New Roman" w:eastAsia="宋体" w:hAnsi="Times New Roman" w:cs="Times New Roman"/>
      <w:sz w:val="18"/>
      <w:szCs w:val="18"/>
    </w:rPr>
  </w:style>
  <w:style w:type="character" w:customStyle="1" w:styleId="Char3">
    <w:name w:val="页脚 Char"/>
    <w:link w:val="a8"/>
    <w:qFormat/>
    <w:rPr>
      <w:rFonts w:ascii="Times New Roman" w:eastAsia="宋体" w:hAnsi="Times New Roman" w:cs="Times New Roman"/>
      <w:sz w:val="18"/>
      <w:szCs w:val="18"/>
    </w:rPr>
  </w:style>
  <w:style w:type="character" w:customStyle="1" w:styleId="Char4">
    <w:name w:val="页眉 Char"/>
    <w:link w:val="a9"/>
    <w:qFormat/>
    <w:rPr>
      <w:rFonts w:ascii="Times New Roman" w:eastAsia="宋体" w:hAnsi="Times New Roman" w:cs="Times New Roman"/>
      <w:sz w:val="18"/>
      <w:szCs w:val="18"/>
    </w:rPr>
  </w:style>
  <w:style w:type="character" w:customStyle="1" w:styleId="3Char">
    <w:name w:val="正文文本缩进 3 Char"/>
    <w:link w:val="30"/>
    <w:qFormat/>
    <w:rPr>
      <w:rFonts w:ascii="仿宋_GB2312" w:eastAsia="仿宋_GB2312" w:hAnsi="宋体" w:cs="Arial"/>
      <w:color w:val="000000"/>
      <w:sz w:val="24"/>
      <w:szCs w:val="24"/>
    </w:rPr>
  </w:style>
  <w:style w:type="character" w:customStyle="1" w:styleId="HTMLChar">
    <w:name w:val="HTML 预设格式 Char"/>
    <w:link w:val="HTML"/>
    <w:qFormat/>
    <w:rPr>
      <w:rFonts w:ascii="宋体" w:eastAsia="宋体" w:hAnsi="宋体" w:cs="宋体"/>
      <w:kern w:val="0"/>
      <w:sz w:val="24"/>
      <w:szCs w:val="24"/>
    </w:rPr>
  </w:style>
  <w:style w:type="character" w:customStyle="1" w:styleId="Char5">
    <w:name w:val="批注主题 Char"/>
    <w:link w:val="ab"/>
    <w:qFormat/>
    <w:rPr>
      <w:rFonts w:ascii="Times New Roman" w:eastAsia="宋体" w:hAnsi="Times New Roman" w:cs="Times New Roman"/>
      <w:b/>
      <w:bCs/>
      <w:szCs w:val="24"/>
    </w:rPr>
  </w:style>
  <w:style w:type="character" w:customStyle="1" w:styleId="read">
    <w:name w:val="read"/>
    <w:qFormat/>
    <w:rPr>
      <w:rFonts w:ascii="Calibri" w:eastAsia="宋体" w:hAnsi="Calibri" w:cs="Calibri"/>
    </w:rPr>
  </w:style>
  <w:style w:type="paragraph" w:customStyle="1" w:styleId="Char10">
    <w:name w:val="Char1"/>
    <w:basedOn w:val="a"/>
    <w:qFormat/>
    <w:pPr>
      <w:tabs>
        <w:tab w:val="left" w:pos="832"/>
      </w:tabs>
      <w:ind w:left="832" w:hanging="420"/>
      <w:jc w:val="center"/>
    </w:pPr>
    <w:rPr>
      <w:rFonts w:ascii="楷体_GB2312" w:eastAsia="楷体_GB2312" w:hAnsi="Times New Roman"/>
      <w:b/>
      <w:color w:val="000080"/>
      <w:sz w:val="30"/>
      <w:szCs w:val="30"/>
    </w:rPr>
  </w:style>
  <w:style w:type="paragraph" w:customStyle="1" w:styleId="10">
    <w:name w:val="修订1"/>
    <w:qFormat/>
    <w:rPr>
      <w:rFonts w:ascii="Calibri" w:hAnsi="Calibri"/>
      <w:kern w:val="2"/>
      <w:sz w:val="21"/>
      <w:szCs w:val="22"/>
    </w:rPr>
  </w:style>
  <w:style w:type="paragraph" w:customStyle="1" w:styleId="CharCharChar">
    <w:name w:val="Char Char Char"/>
    <w:basedOn w:val="a"/>
    <w:qFormat/>
    <w:rPr>
      <w:rFonts w:ascii="Times New Roman" w:hAnsi="Times New Roman"/>
      <w:szCs w:val="24"/>
    </w:rPr>
  </w:style>
  <w:style w:type="paragraph" w:customStyle="1" w:styleId="11">
    <w:name w:val="修订11"/>
    <w:qFormat/>
    <w:rPr>
      <w:kern w:val="2"/>
      <w:sz w:val="21"/>
      <w:szCs w:val="24"/>
    </w:rPr>
  </w:style>
  <w:style w:type="paragraph" w:customStyle="1" w:styleId="Char6">
    <w:name w:val="Char"/>
    <w:basedOn w:val="a"/>
    <w:qFormat/>
    <w:rPr>
      <w:rFonts w:ascii="Times New Roman" w:hAnsi="Times New Roman"/>
      <w:szCs w:val="24"/>
    </w:rPr>
  </w:style>
  <w:style w:type="paragraph" w:customStyle="1" w:styleId="Style47">
    <w:name w:val="_Style 47"/>
    <w:qFormat/>
    <w:pPr>
      <w:widowControl w:val="0"/>
      <w:jc w:val="both"/>
    </w:pPr>
    <w:rPr>
      <w:rFonts w:ascii="Calibri" w:hAnsi="Calibri"/>
      <w:kern w:val="2"/>
      <w:sz w:val="21"/>
      <w:szCs w:val="22"/>
    </w:rPr>
  </w:style>
  <w:style w:type="paragraph" w:customStyle="1" w:styleId="CharCharCharCharCharCharChar1CharCharCharCharCharChar">
    <w:name w:val="Char Char Char Char Char Char Char1 Char Char Char Char Char Char"/>
    <w:basedOn w:val="a"/>
    <w:qFormat/>
    <w:rPr>
      <w:rFonts w:ascii="Times New Roman" w:hAnsi="Times New Roman"/>
      <w:szCs w:val="24"/>
    </w:rPr>
  </w:style>
  <w:style w:type="paragraph" w:customStyle="1" w:styleId="22">
    <w:name w:val="修订2"/>
    <w:qFormat/>
    <w:rPr>
      <w:rFonts w:ascii="Calibri" w:hAnsi="Calibri"/>
      <w:kern w:val="2"/>
      <w:sz w:val="21"/>
      <w:szCs w:val="22"/>
    </w:rPr>
  </w:style>
  <w:style w:type="paragraph" w:customStyle="1" w:styleId="CharChar">
    <w:name w:val="Char Char"/>
    <w:basedOn w:val="a"/>
    <w:qFormat/>
    <w:rPr>
      <w:rFonts w:ascii="Times New Roman" w:hAnsi="Times New Roman"/>
      <w:szCs w:val="20"/>
    </w:rPr>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character" w:customStyle="1" w:styleId="im-content1">
    <w:name w:val="im-content1"/>
    <w:qFormat/>
    <w:rPr>
      <w:rFonts w:ascii="Calibri" w:eastAsia="宋体" w:hAnsi="Calibri" w:cs="Calibri"/>
      <w:color w:val="333333"/>
    </w:rPr>
  </w:style>
  <w:style w:type="paragraph" w:customStyle="1" w:styleId="12">
    <w:name w:val="正文1"/>
    <w:qFormat/>
    <w:pPr>
      <w:jc w:val="both"/>
    </w:pPr>
    <w:rPr>
      <w:rFonts w:ascii="等线" w:hAnsi="等线" w:cs="宋体"/>
      <w:kern w:val="2"/>
      <w:sz w:val="21"/>
      <w:szCs w:val="21"/>
    </w:rPr>
  </w:style>
  <w:style w:type="paragraph" w:customStyle="1" w:styleId="31">
    <w:name w:val="修订3"/>
    <w:hidden/>
    <w:uiPriority w:val="99"/>
    <w:semiHidden/>
    <w:qFormat/>
    <w:rPr>
      <w:rFonts w:ascii="Calibri" w:hAnsi="Calibri"/>
      <w:kern w:val="2"/>
      <w:sz w:val="21"/>
      <w:szCs w:val="22"/>
    </w:rPr>
  </w:style>
  <w:style w:type="paragraph" w:customStyle="1" w:styleId="40">
    <w:name w:val="修订4"/>
    <w:hidden/>
    <w:uiPriority w:val="99"/>
    <w:semiHidden/>
    <w:qFormat/>
    <w:rPr>
      <w:rFonts w:ascii="Calibri" w:hAnsi="Calibri"/>
      <w:kern w:val="2"/>
      <w:sz w:val="21"/>
      <w:szCs w:val="22"/>
    </w:rPr>
  </w:style>
  <w:style w:type="table" w:customStyle="1" w:styleId="50">
    <w:name w:val="网格型5"/>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3"/>
    <w:basedOn w:val="a2"/>
    <w:uiPriority w:val="59"/>
    <w:qFormat/>
    <w:pPr>
      <w:widowControl w:val="0"/>
      <w:jc w:val="both"/>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批注文字 Char1"/>
    <w:qFormat/>
    <w:rPr>
      <w:kern w:val="2"/>
      <w:sz w:val="21"/>
    </w:rPr>
  </w:style>
  <w:style w:type="paragraph" w:customStyle="1" w:styleId="51">
    <w:name w:val="修订5"/>
    <w:hidden/>
    <w:uiPriority w:val="99"/>
    <w:semiHidden/>
    <w:qFormat/>
    <w:rPr>
      <w:rFonts w:ascii="Calibri" w:hAnsi="Calibri"/>
      <w:kern w:val="2"/>
      <w:sz w:val="21"/>
      <w:szCs w:val="22"/>
    </w:rPr>
  </w:style>
  <w:style w:type="paragraph" w:styleId="af1">
    <w:name w:val="List Paragraph"/>
    <w:basedOn w:val="a"/>
    <w:uiPriority w:val="99"/>
    <w:qFormat/>
    <w:pPr>
      <w:ind w:firstLineChars="200" w:firstLine="420"/>
    </w:pPr>
  </w:style>
  <w:style w:type="paragraph" w:customStyle="1" w:styleId="60">
    <w:name w:val="修订6"/>
    <w:hidden/>
    <w:uiPriority w:val="99"/>
    <w:semiHidden/>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800CF09C-9778-4D39-AF47-5A1390BAE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5446</Words>
  <Characters>31044</Characters>
  <Application>Microsoft Office Word</Application>
  <DocSecurity>0</DocSecurity>
  <Lines>258</Lines>
  <Paragraphs>72</Paragraphs>
  <ScaleCrop>false</ScaleCrop>
  <Company>神州网信技术有限公司</Company>
  <LinksUpToDate>false</LinksUpToDate>
  <CharactersWithSpaces>36418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高珊</dc:creator>
  <cp:lastModifiedBy>陈珩0109</cp:lastModifiedBy>
  <cp:revision>84</cp:revision>
  <cp:lastPrinted>2025-05-24T14:58:00Z</cp:lastPrinted>
  <dcterms:created xsi:type="dcterms:W3CDTF">2025-05-24T10:33:00Z</dcterms:created>
  <dcterms:modified xsi:type="dcterms:W3CDTF">2026-01-09T09:44:00Z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A5D12D675BD84826B2ACB4A867399769_13</vt:lpwstr>
  </property>
  <property fmtid="{D5CDD505-2E9C-101B-9397-08002B2CF9AE}" pid="4" name="KSOTemplateDocerSaveRecord">
    <vt:lpwstr>eyJoZGlkIjoiYmEyYzE4ZmY0MTA0YTRiNWJiMmU1NDE3Y2M1YjExNTYiLCJ1c2VySWQiOiI0NjAzODM0OTYifQ==</vt:lpwstr>
  </property>
</Properties>
</file>